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E6AC3C">
      <w:pPr>
        <w:spacing w:before="156" w:beforeLines="50" w:after="156" w:afterLines="50" w:line="460" w:lineRule="exact"/>
        <w:ind w:firstLine="472" w:firstLineChars="196"/>
        <w:rPr>
          <w:rFonts w:ascii="宋体" w:hAnsi="宋体" w:cs="宋体"/>
          <w:b/>
          <w:color w:val="000000"/>
        </w:rPr>
      </w:pPr>
      <w:r>
        <w:rPr>
          <w:rFonts w:hint="eastAsia" w:ascii="宋体" w:hAnsi="宋体" w:cs="宋体"/>
          <w:b/>
          <w:bCs/>
          <w:color w:val="000000"/>
        </w:rPr>
        <w:t>评标内容及标准</w:t>
      </w:r>
    </w:p>
    <w:p w14:paraId="206A203D">
      <w:pPr>
        <w:spacing w:before="156" w:beforeLines="50" w:after="156" w:afterLines="50" w:line="400" w:lineRule="exact"/>
        <w:ind w:firstLine="440" w:firstLineChars="200"/>
        <w:rPr>
          <w:rFonts w:ascii="宋体" w:hAnsi="宋体" w:cs="宋体"/>
          <w:color w:val="000000"/>
          <w:sz w:val="22"/>
        </w:rPr>
      </w:pPr>
      <w:r>
        <w:rPr>
          <w:rFonts w:hint="eastAsia" w:ascii="宋体" w:hAnsi="宋体" w:cs="宋体"/>
          <w:color w:val="000000"/>
          <w:sz w:val="22"/>
        </w:rPr>
        <w:t>本次评标采用综合评分法，总分为100分。合格投标人的评标得分为各项目汇总得分，评分过程中采用四舍五入法，并保留小数2位。</w:t>
      </w:r>
    </w:p>
    <w:p w14:paraId="0B468DFC">
      <w:pPr>
        <w:spacing w:before="156" w:beforeLines="50" w:after="156" w:afterLines="50" w:line="400" w:lineRule="exact"/>
        <w:ind w:firstLine="440" w:firstLineChars="200"/>
        <w:rPr>
          <w:rFonts w:eastAsia="黑体"/>
          <w:sz w:val="28"/>
          <w:szCs w:val="28"/>
        </w:rPr>
      </w:pPr>
      <w:r>
        <w:rPr>
          <w:rFonts w:hint="eastAsia" w:ascii="宋体" w:hAnsi="宋体" w:cs="宋体"/>
          <w:color w:val="000000"/>
          <w:sz w:val="22"/>
        </w:rPr>
        <w:t>投标人评标综合得分=价格分+(技术分+商务资信及其他分)</w:t>
      </w:r>
    </w:p>
    <w:p w14:paraId="151517FE">
      <w:pPr>
        <w:spacing w:before="156" w:beforeLines="50" w:after="156" w:afterLines="50" w:line="400" w:lineRule="exact"/>
        <w:ind w:firstLine="440" w:firstLineChars="200"/>
        <w:rPr>
          <w:rFonts w:eastAsia="黑体"/>
          <w:sz w:val="28"/>
          <w:szCs w:val="28"/>
        </w:rPr>
      </w:pPr>
      <w:r>
        <w:rPr>
          <w:rFonts w:hint="eastAsia" w:ascii="宋体" w:hAnsi="宋体" w:cs="宋体"/>
          <w:color w:val="000000"/>
          <w:sz w:val="22"/>
        </w:rPr>
        <w:t>1.价格分（30分）</w:t>
      </w:r>
    </w:p>
    <w:tbl>
      <w:tblPr>
        <w:tblStyle w:val="11"/>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03"/>
        <w:gridCol w:w="6859"/>
        <w:gridCol w:w="526"/>
        <w:gridCol w:w="572"/>
      </w:tblGrid>
      <w:tr w14:paraId="7FEF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37" w:type="dxa"/>
            <w:vAlign w:val="center"/>
          </w:tcPr>
          <w:p w14:paraId="43B91CA6">
            <w:pPr>
              <w:widowControl/>
              <w:jc w:val="center"/>
              <w:textAlignment w:val="center"/>
              <w:rPr>
                <w:rFonts w:ascii="黑体" w:hAnsi="宋体" w:eastAsia="黑体" w:cs="黑体"/>
                <w:kern w:val="2"/>
                <w:sz w:val="21"/>
              </w:rPr>
            </w:pPr>
            <w:r>
              <w:rPr>
                <w:rFonts w:hint="eastAsia" w:ascii="黑体" w:hAnsi="宋体" w:eastAsia="黑体" w:cs="黑体"/>
              </w:rPr>
              <w:t>序号</w:t>
            </w:r>
          </w:p>
        </w:tc>
        <w:tc>
          <w:tcPr>
            <w:tcW w:w="903" w:type="dxa"/>
            <w:vAlign w:val="center"/>
          </w:tcPr>
          <w:p w14:paraId="0C2D2E67">
            <w:pPr>
              <w:widowControl/>
              <w:jc w:val="center"/>
              <w:textAlignment w:val="center"/>
              <w:rPr>
                <w:rFonts w:ascii="黑体" w:hAnsi="宋体" w:eastAsia="黑体" w:cs="黑体"/>
              </w:rPr>
            </w:pPr>
            <w:r>
              <w:rPr>
                <w:rFonts w:hint="eastAsia" w:ascii="黑体" w:hAnsi="宋体" w:eastAsia="黑体" w:cs="黑体"/>
              </w:rPr>
              <w:t>评审</w:t>
            </w:r>
          </w:p>
          <w:p w14:paraId="2AC18A14">
            <w:pPr>
              <w:widowControl/>
              <w:jc w:val="center"/>
              <w:textAlignment w:val="center"/>
              <w:rPr>
                <w:rFonts w:ascii="黑体" w:hAnsi="宋体" w:eastAsia="黑体" w:cs="黑体"/>
                <w:kern w:val="2"/>
                <w:sz w:val="21"/>
              </w:rPr>
            </w:pPr>
            <w:r>
              <w:rPr>
                <w:rFonts w:hint="eastAsia" w:ascii="黑体" w:hAnsi="宋体" w:eastAsia="黑体" w:cs="黑体"/>
              </w:rPr>
              <w:t>项目</w:t>
            </w:r>
          </w:p>
        </w:tc>
        <w:tc>
          <w:tcPr>
            <w:tcW w:w="6859" w:type="dxa"/>
            <w:vAlign w:val="center"/>
          </w:tcPr>
          <w:p w14:paraId="45DBE880">
            <w:pPr>
              <w:widowControl/>
              <w:jc w:val="center"/>
              <w:textAlignment w:val="center"/>
              <w:rPr>
                <w:rFonts w:ascii="黑体" w:hAnsi="宋体" w:eastAsia="黑体" w:cs="黑体"/>
                <w:kern w:val="2"/>
                <w:sz w:val="21"/>
              </w:rPr>
            </w:pPr>
            <w:r>
              <w:rPr>
                <w:rFonts w:hint="eastAsia" w:ascii="黑体" w:hAnsi="宋体" w:eastAsia="黑体" w:cs="黑体"/>
              </w:rPr>
              <w:t>评审内容及规则</w:t>
            </w:r>
          </w:p>
        </w:tc>
        <w:tc>
          <w:tcPr>
            <w:tcW w:w="526" w:type="dxa"/>
            <w:vAlign w:val="center"/>
          </w:tcPr>
          <w:p w14:paraId="1187BFCC">
            <w:pPr>
              <w:widowControl/>
              <w:jc w:val="center"/>
              <w:textAlignment w:val="center"/>
              <w:rPr>
                <w:rFonts w:ascii="黑体" w:hAnsi="宋体" w:eastAsia="黑体" w:cs="黑体"/>
              </w:rPr>
            </w:pPr>
            <w:r>
              <w:rPr>
                <w:rFonts w:hint="eastAsia" w:ascii="黑体" w:hAnsi="宋体" w:eastAsia="黑体" w:cs="黑体"/>
              </w:rPr>
              <w:t>标准</w:t>
            </w:r>
          </w:p>
          <w:p w14:paraId="72FA9128">
            <w:pPr>
              <w:widowControl/>
              <w:jc w:val="center"/>
              <w:textAlignment w:val="center"/>
              <w:rPr>
                <w:rFonts w:ascii="黑体" w:hAnsi="宋体" w:eastAsia="黑体" w:cs="黑体"/>
                <w:kern w:val="2"/>
                <w:sz w:val="21"/>
              </w:rPr>
            </w:pPr>
            <w:r>
              <w:rPr>
                <w:rFonts w:hint="eastAsia" w:ascii="黑体" w:hAnsi="宋体" w:eastAsia="黑体" w:cs="黑体"/>
              </w:rPr>
              <w:t>分值</w:t>
            </w:r>
          </w:p>
        </w:tc>
        <w:tc>
          <w:tcPr>
            <w:tcW w:w="572" w:type="dxa"/>
            <w:vAlign w:val="center"/>
          </w:tcPr>
          <w:p w14:paraId="0ADC6AAB">
            <w:pPr>
              <w:widowControl/>
              <w:jc w:val="center"/>
              <w:textAlignment w:val="center"/>
              <w:rPr>
                <w:rFonts w:ascii="黑体" w:hAnsi="宋体" w:eastAsia="黑体" w:cs="黑体"/>
                <w:kern w:val="2"/>
                <w:sz w:val="21"/>
              </w:rPr>
            </w:pPr>
            <w:r>
              <w:rPr>
                <w:rFonts w:hint="eastAsia" w:ascii="黑体" w:hAnsi="宋体" w:eastAsia="黑体" w:cs="黑体"/>
              </w:rPr>
              <w:t>得分</w:t>
            </w:r>
          </w:p>
        </w:tc>
      </w:tr>
      <w:tr w14:paraId="2D5D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37" w:type="dxa"/>
            <w:vAlign w:val="center"/>
          </w:tcPr>
          <w:p w14:paraId="140C4F2F">
            <w:pPr>
              <w:widowControl/>
              <w:jc w:val="center"/>
              <w:textAlignment w:val="center"/>
              <w:rPr>
                <w:rFonts w:ascii="宋体" w:hAnsi="宋体" w:cs="仿宋"/>
                <w:kern w:val="2"/>
              </w:rPr>
            </w:pPr>
            <w:r>
              <w:rPr>
                <w:rFonts w:hint="eastAsia" w:ascii="宋体" w:hAnsi="宋体" w:cs="仿宋"/>
              </w:rPr>
              <w:t>一</w:t>
            </w:r>
          </w:p>
        </w:tc>
        <w:tc>
          <w:tcPr>
            <w:tcW w:w="903" w:type="dxa"/>
            <w:vAlign w:val="center"/>
          </w:tcPr>
          <w:p w14:paraId="63B637C5">
            <w:pPr>
              <w:pStyle w:val="14"/>
              <w:kinsoku w:val="0"/>
              <w:overflowPunct w:val="0"/>
              <w:autoSpaceDE w:val="0"/>
              <w:autoSpaceDN w:val="0"/>
              <w:spacing w:line="400" w:lineRule="exact"/>
              <w:ind w:firstLine="0" w:firstLineChars="0"/>
              <w:jc w:val="center"/>
              <w:rPr>
                <w:rFonts w:ascii="宋体" w:hAnsi="宋体"/>
              </w:rPr>
            </w:pPr>
            <w:r>
              <w:rPr>
                <w:rFonts w:hint="eastAsia" w:ascii="宋体" w:hAnsi="宋体"/>
              </w:rPr>
              <w:t>价格</w:t>
            </w:r>
          </w:p>
        </w:tc>
        <w:tc>
          <w:tcPr>
            <w:tcW w:w="6859" w:type="dxa"/>
          </w:tcPr>
          <w:p w14:paraId="4077460A">
            <w:pPr>
              <w:adjustRightInd w:val="0"/>
              <w:snapToGrid w:val="0"/>
              <w:spacing w:line="400" w:lineRule="exact"/>
              <w:jc w:val="left"/>
              <w:rPr>
                <w:rFonts w:ascii="宋体" w:hAnsi="宋体"/>
                <w:color w:val="000000"/>
              </w:rPr>
            </w:pPr>
            <w:r>
              <w:rPr>
                <w:rFonts w:hint="eastAsia" w:ascii="宋体" w:hAnsi="宋体"/>
                <w:color w:val="000000"/>
              </w:rPr>
              <w:t>价格分采用低价优先法计算，即满足招标文件要求且投标价格最低的投标报价为评标基准价，其价格分为满分。其他投标人的价格分统一按照下列公式计算：投标报价得分=（评标基准价／投标报价）×30。</w:t>
            </w:r>
          </w:p>
          <w:p w14:paraId="2BC841EF">
            <w:pPr>
              <w:kinsoku w:val="0"/>
              <w:overflowPunct w:val="0"/>
              <w:autoSpaceDE w:val="0"/>
              <w:autoSpaceDN w:val="0"/>
              <w:spacing w:line="400" w:lineRule="exact"/>
              <w:rPr>
                <w:rFonts w:ascii="宋体" w:hAnsi="宋体"/>
                <w:color w:val="000000"/>
              </w:rPr>
            </w:pPr>
            <w:r>
              <w:rPr>
                <w:rFonts w:hint="eastAsia" w:ascii="宋体" w:hAnsi="宋体"/>
                <w:color w:val="000000"/>
              </w:rPr>
              <w:t>投标人报价低于其它所有通过资格性和符合性审查投标（报价）供应商平均报价一定比例（40%），有可能影响产品质量或者不能诚信履约的，评审委员会应当要求投标（报价）供应商在半个小时内提供报价合 理性的书面说明，必要时提交相关证明材料，投标人不能证明其报价合理性的，评标委员会应将其作为投标无效处理。</w:t>
            </w:r>
          </w:p>
        </w:tc>
        <w:tc>
          <w:tcPr>
            <w:tcW w:w="526" w:type="dxa"/>
            <w:vAlign w:val="center"/>
          </w:tcPr>
          <w:p w14:paraId="5E6DE7DF">
            <w:pPr>
              <w:kinsoku w:val="0"/>
              <w:overflowPunct w:val="0"/>
              <w:autoSpaceDE w:val="0"/>
              <w:autoSpaceDN w:val="0"/>
              <w:spacing w:line="400" w:lineRule="exact"/>
              <w:jc w:val="center"/>
              <w:rPr>
                <w:rFonts w:ascii="宋体" w:hAnsi="宋体"/>
                <w:color w:val="000000"/>
              </w:rPr>
            </w:pPr>
            <w:r>
              <w:rPr>
                <w:rFonts w:hint="eastAsia" w:ascii="宋体" w:hAnsi="宋体"/>
                <w:color w:val="000000"/>
              </w:rPr>
              <w:t>30</w:t>
            </w:r>
          </w:p>
        </w:tc>
        <w:tc>
          <w:tcPr>
            <w:tcW w:w="572" w:type="dxa"/>
            <w:vAlign w:val="center"/>
          </w:tcPr>
          <w:p w14:paraId="54E906C2">
            <w:pPr>
              <w:widowControl/>
              <w:spacing w:line="400" w:lineRule="exact"/>
              <w:jc w:val="center"/>
              <w:rPr>
                <w:rFonts w:ascii="宋体" w:hAnsi="宋体" w:cs="宋体"/>
                <w:color w:val="000000"/>
              </w:rPr>
            </w:pPr>
          </w:p>
        </w:tc>
      </w:tr>
      <w:tr w14:paraId="14C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97" w:type="dxa"/>
            <w:gridSpan w:val="5"/>
            <w:vAlign w:val="center"/>
          </w:tcPr>
          <w:p w14:paraId="6A61DE26">
            <w:pPr>
              <w:spacing w:line="400" w:lineRule="exact"/>
              <w:jc w:val="left"/>
              <w:rPr>
                <w:rFonts w:ascii="宋体" w:hAnsi="宋体"/>
                <w:b/>
              </w:rPr>
            </w:pPr>
            <w:r>
              <w:rPr>
                <w:rFonts w:ascii="宋体" w:hAnsi="宋体"/>
                <w:b/>
              </w:rPr>
              <w:t>说明：</w:t>
            </w:r>
          </w:p>
          <w:p w14:paraId="0D7D0A5D">
            <w:pPr>
              <w:spacing w:line="400" w:lineRule="exact"/>
              <w:jc w:val="left"/>
              <w:rPr>
                <w:rFonts w:ascii="宋体" w:hAnsi="宋体"/>
              </w:rPr>
            </w:pPr>
            <w:r>
              <w:rPr>
                <w:rFonts w:hint="eastAsia" w:ascii="宋体" w:hAnsi="宋体"/>
              </w:rPr>
              <w:t>1.</w:t>
            </w:r>
            <w:r>
              <w:rPr>
                <w:rFonts w:ascii="宋体" w:hAnsi="宋体"/>
              </w:rPr>
              <w:t>可并列排名项，如前一名有并列的，后一名只减一档</w:t>
            </w:r>
            <w:r>
              <w:rPr>
                <w:rFonts w:hint="eastAsia" w:ascii="宋体" w:hAnsi="宋体"/>
              </w:rPr>
              <w:t>；</w:t>
            </w:r>
          </w:p>
          <w:p w14:paraId="7B0C14E9">
            <w:pPr>
              <w:pStyle w:val="3"/>
            </w:pPr>
            <w:r>
              <w:rPr>
                <w:rFonts w:hint="eastAsia" w:ascii="宋体" w:hAnsi="宋体"/>
              </w:rPr>
              <w:t>2.除价格以外的商务评分低于其总分（10分）的50%视为无效投标。</w:t>
            </w:r>
          </w:p>
        </w:tc>
      </w:tr>
    </w:tbl>
    <w:p w14:paraId="41C5E7DB">
      <w:pPr>
        <w:spacing w:line="560" w:lineRule="exact"/>
        <w:jc w:val="center"/>
        <w:rPr>
          <w:rFonts w:eastAsia="黑体"/>
          <w:sz w:val="28"/>
          <w:szCs w:val="28"/>
        </w:rPr>
      </w:pPr>
    </w:p>
    <w:p w14:paraId="12BC4AB3">
      <w:pPr>
        <w:spacing w:line="560" w:lineRule="exact"/>
        <w:jc w:val="center"/>
        <w:rPr>
          <w:rFonts w:eastAsia="黑体"/>
          <w:sz w:val="28"/>
          <w:szCs w:val="28"/>
        </w:rPr>
      </w:pPr>
    </w:p>
    <w:p w14:paraId="4741F831">
      <w:pPr>
        <w:spacing w:line="560" w:lineRule="exact"/>
        <w:jc w:val="center"/>
        <w:rPr>
          <w:rFonts w:eastAsia="黑体"/>
          <w:sz w:val="28"/>
          <w:szCs w:val="28"/>
        </w:rPr>
      </w:pPr>
    </w:p>
    <w:p w14:paraId="69194FC8">
      <w:pPr>
        <w:spacing w:line="560" w:lineRule="exact"/>
        <w:jc w:val="center"/>
        <w:rPr>
          <w:rFonts w:eastAsia="黑体"/>
          <w:sz w:val="28"/>
          <w:szCs w:val="28"/>
        </w:rPr>
      </w:pPr>
    </w:p>
    <w:p w14:paraId="59A1B5D3">
      <w:pPr>
        <w:spacing w:line="560" w:lineRule="exact"/>
        <w:jc w:val="center"/>
        <w:rPr>
          <w:rFonts w:eastAsia="黑体"/>
          <w:sz w:val="28"/>
          <w:szCs w:val="28"/>
        </w:rPr>
      </w:pPr>
    </w:p>
    <w:p w14:paraId="4397B839">
      <w:pPr>
        <w:spacing w:line="560" w:lineRule="exact"/>
        <w:jc w:val="center"/>
        <w:rPr>
          <w:rFonts w:eastAsia="黑体"/>
          <w:sz w:val="28"/>
          <w:szCs w:val="28"/>
        </w:rPr>
      </w:pPr>
    </w:p>
    <w:p w14:paraId="2B6C3AB6">
      <w:pPr>
        <w:spacing w:line="560" w:lineRule="exact"/>
        <w:jc w:val="center"/>
        <w:rPr>
          <w:rFonts w:eastAsia="黑体"/>
          <w:sz w:val="28"/>
          <w:szCs w:val="28"/>
        </w:rPr>
      </w:pPr>
    </w:p>
    <w:p w14:paraId="09A3D08A">
      <w:pPr>
        <w:spacing w:line="560" w:lineRule="exact"/>
        <w:rPr>
          <w:rFonts w:eastAsia="黑体"/>
          <w:sz w:val="28"/>
          <w:szCs w:val="28"/>
        </w:rPr>
      </w:pPr>
    </w:p>
    <w:p w14:paraId="5E3F3B23">
      <w:pPr>
        <w:pStyle w:val="8"/>
        <w:shd w:val="clear" w:color="auto" w:fill="FFFFFF"/>
        <w:spacing w:before="50" w:after="50" w:line="400" w:lineRule="exact"/>
        <w:rPr>
          <w:rFonts w:ascii="Courier New" w:hAnsi="Courier New" w:cs="Courier New"/>
          <w:color w:val="000000"/>
        </w:rPr>
      </w:pPr>
      <w:r>
        <w:rPr>
          <w:rFonts w:hint="eastAsia" w:ascii="Courier New" w:hAnsi="Courier New" w:cs="Courier New"/>
          <w:color w:val="000000"/>
        </w:rPr>
        <w:t>2.技术</w:t>
      </w:r>
      <w:r>
        <w:rPr>
          <w:rFonts w:ascii="Courier New" w:hAnsi="Courier New" w:cs="Courier New"/>
          <w:color w:val="000000"/>
        </w:rPr>
        <w:t>、资信及商务分（</w:t>
      </w:r>
      <w:r>
        <w:rPr>
          <w:rFonts w:hint="eastAsia"/>
          <w:color w:val="000000"/>
        </w:rPr>
        <w:t>70</w:t>
      </w:r>
      <w:r>
        <w:rPr>
          <w:rFonts w:hint="eastAsia" w:ascii="Courier New" w:hAnsi="Courier New" w:cs="Courier New"/>
          <w:color w:val="000000"/>
        </w:rPr>
        <w:t>分</w:t>
      </w:r>
      <w:r>
        <w:rPr>
          <w:rFonts w:ascii="Courier New" w:hAnsi="Courier New" w:cs="Courier New"/>
          <w:color w:val="000000"/>
        </w:rPr>
        <w:t>）</w:t>
      </w:r>
    </w:p>
    <w:tbl>
      <w:tblPr>
        <w:tblStyle w:val="11"/>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8"/>
        <w:gridCol w:w="6"/>
        <w:gridCol w:w="865"/>
        <w:gridCol w:w="6"/>
        <w:gridCol w:w="6628"/>
        <w:gridCol w:w="368"/>
        <w:gridCol w:w="677"/>
        <w:gridCol w:w="2"/>
      </w:tblGrid>
      <w:tr w14:paraId="3278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461" w:hRule="atLeast"/>
          <w:jc w:val="center"/>
        </w:trPr>
        <w:tc>
          <w:tcPr>
            <w:tcW w:w="518" w:type="dxa"/>
            <w:tcMar>
              <w:top w:w="12" w:type="dxa"/>
              <w:left w:w="12" w:type="dxa"/>
              <w:right w:w="12" w:type="dxa"/>
            </w:tcMar>
            <w:vAlign w:val="center"/>
          </w:tcPr>
          <w:p w14:paraId="3122CE19">
            <w:pPr>
              <w:widowControl/>
              <w:jc w:val="center"/>
              <w:textAlignment w:val="center"/>
              <w:rPr>
                <w:rFonts w:ascii="黑体" w:hAnsi="宋体" w:eastAsia="黑体" w:cs="黑体"/>
                <w:kern w:val="2"/>
                <w:sz w:val="21"/>
              </w:rPr>
            </w:pPr>
            <w:r>
              <w:rPr>
                <w:rFonts w:hint="eastAsia" w:ascii="黑体" w:hAnsi="宋体" w:eastAsia="黑体" w:cs="黑体"/>
              </w:rPr>
              <w:t>序号</w:t>
            </w:r>
          </w:p>
        </w:tc>
        <w:tc>
          <w:tcPr>
            <w:tcW w:w="871" w:type="dxa"/>
            <w:gridSpan w:val="2"/>
            <w:tcMar>
              <w:top w:w="12" w:type="dxa"/>
              <w:left w:w="12" w:type="dxa"/>
              <w:right w:w="12" w:type="dxa"/>
            </w:tcMar>
            <w:vAlign w:val="center"/>
          </w:tcPr>
          <w:p w14:paraId="0C72FE78">
            <w:pPr>
              <w:widowControl/>
              <w:jc w:val="center"/>
              <w:textAlignment w:val="center"/>
              <w:rPr>
                <w:rFonts w:ascii="黑体" w:hAnsi="宋体" w:eastAsia="黑体" w:cs="黑体"/>
              </w:rPr>
            </w:pPr>
            <w:r>
              <w:rPr>
                <w:rFonts w:hint="eastAsia" w:ascii="黑体" w:hAnsi="宋体" w:eastAsia="黑体" w:cs="黑体"/>
              </w:rPr>
              <w:t>评审</w:t>
            </w:r>
          </w:p>
          <w:p w14:paraId="6F4A76C8">
            <w:pPr>
              <w:widowControl/>
              <w:jc w:val="center"/>
              <w:textAlignment w:val="center"/>
              <w:rPr>
                <w:rFonts w:ascii="黑体" w:hAnsi="宋体" w:eastAsia="黑体" w:cs="黑体"/>
                <w:kern w:val="2"/>
                <w:sz w:val="21"/>
              </w:rPr>
            </w:pPr>
            <w:r>
              <w:rPr>
                <w:rFonts w:hint="eastAsia" w:ascii="黑体" w:hAnsi="宋体" w:eastAsia="黑体" w:cs="黑体"/>
              </w:rPr>
              <w:t>项目</w:t>
            </w:r>
          </w:p>
        </w:tc>
        <w:tc>
          <w:tcPr>
            <w:tcW w:w="6635" w:type="dxa"/>
            <w:gridSpan w:val="2"/>
            <w:tcMar>
              <w:top w:w="12" w:type="dxa"/>
              <w:left w:w="12" w:type="dxa"/>
              <w:right w:w="12" w:type="dxa"/>
            </w:tcMar>
            <w:vAlign w:val="center"/>
          </w:tcPr>
          <w:p w14:paraId="2EDA179F">
            <w:pPr>
              <w:widowControl/>
              <w:jc w:val="center"/>
              <w:textAlignment w:val="center"/>
              <w:rPr>
                <w:rFonts w:ascii="黑体" w:hAnsi="宋体" w:eastAsia="黑体" w:cs="黑体"/>
                <w:kern w:val="2"/>
                <w:sz w:val="21"/>
              </w:rPr>
            </w:pPr>
            <w:r>
              <w:rPr>
                <w:rFonts w:hint="eastAsia" w:ascii="黑体" w:hAnsi="宋体" w:eastAsia="黑体" w:cs="黑体"/>
              </w:rPr>
              <w:t>评审内容及规则</w:t>
            </w:r>
          </w:p>
        </w:tc>
        <w:tc>
          <w:tcPr>
            <w:tcW w:w="368" w:type="dxa"/>
            <w:tcMar>
              <w:top w:w="12" w:type="dxa"/>
              <w:left w:w="12" w:type="dxa"/>
              <w:right w:w="12" w:type="dxa"/>
            </w:tcMar>
            <w:vAlign w:val="center"/>
          </w:tcPr>
          <w:p w14:paraId="395480B2">
            <w:pPr>
              <w:widowControl/>
              <w:jc w:val="center"/>
              <w:textAlignment w:val="center"/>
              <w:rPr>
                <w:rFonts w:ascii="黑体" w:hAnsi="宋体" w:eastAsia="黑体" w:cs="黑体"/>
              </w:rPr>
            </w:pPr>
            <w:r>
              <w:rPr>
                <w:rFonts w:hint="eastAsia" w:ascii="黑体" w:hAnsi="宋体" w:eastAsia="黑体" w:cs="黑体"/>
              </w:rPr>
              <w:t>标准</w:t>
            </w:r>
          </w:p>
          <w:p w14:paraId="296AFCE9">
            <w:pPr>
              <w:widowControl/>
              <w:jc w:val="center"/>
              <w:textAlignment w:val="center"/>
              <w:rPr>
                <w:rFonts w:ascii="黑体" w:hAnsi="宋体" w:eastAsia="黑体" w:cs="黑体"/>
                <w:kern w:val="2"/>
                <w:sz w:val="21"/>
              </w:rPr>
            </w:pPr>
            <w:r>
              <w:rPr>
                <w:rFonts w:hint="eastAsia" w:ascii="黑体" w:hAnsi="宋体" w:eastAsia="黑体" w:cs="黑体"/>
              </w:rPr>
              <w:t>分值</w:t>
            </w:r>
          </w:p>
        </w:tc>
        <w:tc>
          <w:tcPr>
            <w:tcW w:w="679" w:type="dxa"/>
            <w:gridSpan w:val="2"/>
            <w:tcMar>
              <w:top w:w="12" w:type="dxa"/>
              <w:left w:w="12" w:type="dxa"/>
              <w:right w:w="12" w:type="dxa"/>
            </w:tcMar>
            <w:vAlign w:val="center"/>
          </w:tcPr>
          <w:p w14:paraId="7E7EC2FB">
            <w:pPr>
              <w:widowControl/>
              <w:jc w:val="center"/>
              <w:textAlignment w:val="center"/>
              <w:rPr>
                <w:rFonts w:ascii="黑体" w:hAnsi="宋体" w:eastAsia="黑体" w:cs="黑体"/>
                <w:kern w:val="2"/>
                <w:sz w:val="21"/>
              </w:rPr>
            </w:pPr>
            <w:r>
              <w:rPr>
                <w:rFonts w:hint="eastAsia" w:ascii="黑体" w:hAnsi="宋体" w:eastAsia="黑体" w:cs="黑体"/>
              </w:rPr>
              <w:t>得分</w:t>
            </w:r>
          </w:p>
        </w:tc>
      </w:tr>
      <w:tr w14:paraId="184B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1485" w:hRule="atLeast"/>
          <w:jc w:val="center"/>
        </w:trPr>
        <w:tc>
          <w:tcPr>
            <w:tcW w:w="524" w:type="dxa"/>
            <w:gridSpan w:val="2"/>
            <w:tcMar>
              <w:top w:w="12" w:type="dxa"/>
              <w:left w:w="12" w:type="dxa"/>
              <w:right w:w="12" w:type="dxa"/>
            </w:tcMar>
            <w:vAlign w:val="center"/>
          </w:tcPr>
          <w:p w14:paraId="3435C38D">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一</w:t>
            </w:r>
          </w:p>
        </w:tc>
        <w:tc>
          <w:tcPr>
            <w:tcW w:w="871" w:type="dxa"/>
            <w:gridSpan w:val="2"/>
            <w:shd w:val="clear" w:color="auto" w:fill="auto"/>
            <w:tcMar>
              <w:top w:w="12" w:type="dxa"/>
              <w:left w:w="12" w:type="dxa"/>
              <w:right w:w="12" w:type="dxa"/>
            </w:tcMar>
            <w:vAlign w:val="center"/>
          </w:tcPr>
          <w:p w14:paraId="1181A16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业绩</w:t>
            </w:r>
            <w:r>
              <w:rPr>
                <w:rFonts w:hint="eastAsia" w:ascii="宋体" w:hAnsi="宋体" w:eastAsia="宋体" w:cs="宋体"/>
                <w:i w:val="0"/>
                <w:iCs w:val="0"/>
                <w:color w:val="000000"/>
                <w:kern w:val="0"/>
                <w:sz w:val="24"/>
                <w:szCs w:val="24"/>
                <w:u w:val="none"/>
                <w:lang w:val="en-US" w:eastAsia="zh-CN" w:bidi="ar"/>
              </w:rPr>
              <w:br w:type="textWrapping"/>
            </w:r>
          </w:p>
        </w:tc>
        <w:tc>
          <w:tcPr>
            <w:tcW w:w="6629" w:type="dxa"/>
            <w:tcMar>
              <w:top w:w="12" w:type="dxa"/>
              <w:left w:w="12" w:type="dxa"/>
              <w:right w:w="12" w:type="dxa"/>
            </w:tcMar>
            <w:vAlign w:val="center"/>
          </w:tcPr>
          <w:p w14:paraId="335D9055">
            <w:pPr>
              <w:spacing w:line="400" w:lineRule="exact"/>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投标人或所投产品制造商自2021年8月至本项目投标截止时间止（以合同签订时间为准），在中国境内销售过同类项目建设业绩，每提供 1个得1分，最高得3分，不提供的不得分。</w:t>
            </w:r>
          </w:p>
        </w:tc>
        <w:tc>
          <w:tcPr>
            <w:tcW w:w="368" w:type="dxa"/>
            <w:tcMar>
              <w:top w:w="12" w:type="dxa"/>
              <w:left w:w="12" w:type="dxa"/>
              <w:right w:w="12" w:type="dxa"/>
            </w:tcMar>
            <w:vAlign w:val="center"/>
          </w:tcPr>
          <w:p w14:paraId="614D808B">
            <w:pPr>
              <w:spacing w:line="400" w:lineRule="exact"/>
              <w:jc w:val="center"/>
              <w:rPr>
                <w:rStyle w:val="16"/>
                <w:rFonts w:hint="eastAsia" w:ascii="宋体" w:hAnsi="宋体" w:eastAsia="宋体" w:cs="仿宋"/>
                <w:color w:val="000000"/>
                <w:sz w:val="24"/>
                <w:szCs w:val="24"/>
                <w:lang w:val="en-US" w:eastAsia="zh-CN"/>
              </w:rPr>
            </w:pPr>
            <w:r>
              <w:rPr>
                <w:rStyle w:val="16"/>
                <w:rFonts w:hint="eastAsia" w:ascii="宋体" w:hAnsi="宋体" w:cs="仿宋"/>
                <w:color w:val="000000"/>
                <w:sz w:val="24"/>
                <w:szCs w:val="24"/>
                <w:lang w:val="en-US" w:eastAsia="zh-CN"/>
              </w:rPr>
              <w:t>3</w:t>
            </w:r>
          </w:p>
        </w:tc>
        <w:tc>
          <w:tcPr>
            <w:tcW w:w="677" w:type="dxa"/>
            <w:tcMar>
              <w:top w:w="12" w:type="dxa"/>
              <w:left w:w="12" w:type="dxa"/>
              <w:right w:w="12" w:type="dxa"/>
            </w:tcMar>
            <w:vAlign w:val="center"/>
          </w:tcPr>
          <w:p w14:paraId="741F176B">
            <w:pPr>
              <w:spacing w:line="400" w:lineRule="exact"/>
              <w:jc w:val="center"/>
              <w:rPr>
                <w:rFonts w:ascii="宋体" w:hAnsi="宋体" w:cs="宋体"/>
              </w:rPr>
            </w:pPr>
          </w:p>
        </w:tc>
      </w:tr>
      <w:tr w14:paraId="3326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652" w:hRule="atLeast"/>
          <w:jc w:val="center"/>
        </w:trPr>
        <w:tc>
          <w:tcPr>
            <w:tcW w:w="518" w:type="dxa"/>
            <w:tcMar>
              <w:top w:w="12" w:type="dxa"/>
              <w:left w:w="12" w:type="dxa"/>
              <w:right w:w="12" w:type="dxa"/>
            </w:tcMar>
            <w:vAlign w:val="center"/>
          </w:tcPr>
          <w:p w14:paraId="2500C85A">
            <w:pPr>
              <w:widowControl/>
              <w:spacing w:line="360" w:lineRule="auto"/>
              <w:jc w:val="center"/>
              <w:textAlignment w:val="center"/>
              <w:rPr>
                <w:rFonts w:hint="eastAsia" w:ascii="宋体" w:hAnsi="宋体" w:eastAsia="宋体" w:cs="宋体"/>
                <w:lang w:eastAsia="zh-CN"/>
              </w:rPr>
            </w:pPr>
            <w:r>
              <w:rPr>
                <w:rFonts w:hint="eastAsia" w:ascii="宋体" w:hAnsi="宋体" w:cs="宋体"/>
                <w:lang w:val="en-US" w:eastAsia="zh-CN"/>
              </w:rPr>
              <w:t>二</w:t>
            </w:r>
          </w:p>
        </w:tc>
        <w:tc>
          <w:tcPr>
            <w:tcW w:w="871" w:type="dxa"/>
            <w:gridSpan w:val="2"/>
            <w:tcMar>
              <w:top w:w="12" w:type="dxa"/>
              <w:left w:w="12" w:type="dxa"/>
              <w:right w:w="12" w:type="dxa"/>
            </w:tcMar>
            <w:vAlign w:val="center"/>
          </w:tcPr>
          <w:p w14:paraId="36410FAC">
            <w:pPr>
              <w:adjustRightInd w:val="0"/>
              <w:snapToGrid w:val="0"/>
              <w:spacing w:line="440" w:lineRule="exact"/>
              <w:jc w:val="center"/>
              <w:rPr>
                <w:rFonts w:ascii="宋体" w:hAnsi="宋体" w:cs="宋体"/>
              </w:rPr>
            </w:pPr>
            <w:r>
              <w:rPr>
                <w:rFonts w:hint="eastAsia" w:ascii="宋体" w:hAnsi="宋体" w:cs="宋体"/>
                <w:color w:val="000000"/>
              </w:rPr>
              <w:t>主要技术性能指标参数满足情况</w:t>
            </w:r>
          </w:p>
        </w:tc>
        <w:tc>
          <w:tcPr>
            <w:tcW w:w="6635" w:type="dxa"/>
            <w:gridSpan w:val="2"/>
            <w:tcMar>
              <w:top w:w="12" w:type="dxa"/>
              <w:left w:w="12" w:type="dxa"/>
              <w:right w:w="12" w:type="dxa"/>
            </w:tcMar>
          </w:tcPr>
          <w:p w14:paraId="4B21754C">
            <w:pPr>
              <w:widowControl/>
              <w:spacing w:line="400" w:lineRule="exact"/>
              <w:jc w:val="left"/>
              <w:rPr>
                <w:rFonts w:ascii="宋体" w:hAnsi="宋体" w:cs="宋体"/>
                <w:color w:val="000000"/>
              </w:rPr>
            </w:pPr>
            <w:r>
              <w:rPr>
                <w:rFonts w:hint="eastAsia" w:ascii="宋体" w:hAnsi="宋体" w:cs="宋体"/>
                <w:color w:val="000000"/>
              </w:rPr>
              <w:t>（1）投标产品功能设计完全响应或高于用户需求书中采购内容中所有技术参数要求，得</w:t>
            </w:r>
            <w:r>
              <w:rPr>
                <w:rFonts w:ascii="宋体" w:hAnsi="宋体"/>
              </w:rPr>
              <w:t>1</w:t>
            </w:r>
            <w:r>
              <w:rPr>
                <w:rFonts w:hint="eastAsia" w:ascii="宋体" w:hAnsi="宋体"/>
                <w:lang w:val="en-US" w:eastAsia="zh-CN"/>
              </w:rPr>
              <w:t>2</w:t>
            </w:r>
            <w:r>
              <w:rPr>
                <w:rFonts w:hint="eastAsia" w:ascii="宋体" w:hAnsi="宋体" w:cs="宋体"/>
                <w:color w:val="000000"/>
              </w:rPr>
              <w:t>分；</w:t>
            </w:r>
          </w:p>
          <w:p w14:paraId="6A637171">
            <w:pPr>
              <w:widowControl/>
              <w:spacing w:line="400" w:lineRule="exact"/>
              <w:jc w:val="left"/>
              <w:rPr>
                <w:rFonts w:hint="eastAsia" w:ascii="-webkit-standard" w:hAnsi="-webkit-standard" w:cs="-webkit-standard" w:eastAsiaTheme="minorEastAsia"/>
                <w:color w:val="000000"/>
                <w:sz w:val="18"/>
                <w:szCs w:val="18"/>
              </w:rPr>
            </w:pPr>
            <w:r>
              <w:rPr>
                <w:rFonts w:hint="eastAsia" w:ascii="宋体" w:hAnsi="宋体" w:cs="宋体"/>
                <w:color w:val="000000"/>
              </w:rPr>
              <w:t>（2）“用户需求书中采购内容”中标有“▲”的指标每偏离（负偏离）1条做废标处理，带“★”为基本要求，每偏离（负偏离）1条扣</w:t>
            </w:r>
            <w:r>
              <w:rPr>
                <w:rFonts w:hint="eastAsia" w:ascii="宋体" w:hAnsi="宋体" w:cs="宋体"/>
                <w:color w:val="000000"/>
                <w:lang w:val="en-US" w:eastAsia="zh-CN"/>
              </w:rPr>
              <w:t>6</w:t>
            </w:r>
            <w:r>
              <w:rPr>
                <w:rFonts w:hint="eastAsia" w:ascii="宋体" w:hAnsi="宋体" w:cs="宋体"/>
                <w:color w:val="000000"/>
              </w:rPr>
              <w:t>分。</w:t>
            </w:r>
          </w:p>
        </w:tc>
        <w:tc>
          <w:tcPr>
            <w:tcW w:w="368" w:type="dxa"/>
            <w:tcMar>
              <w:top w:w="12" w:type="dxa"/>
              <w:left w:w="12" w:type="dxa"/>
              <w:right w:w="12" w:type="dxa"/>
            </w:tcMar>
            <w:vAlign w:val="center"/>
          </w:tcPr>
          <w:p w14:paraId="323A6714">
            <w:pPr>
              <w:widowControl/>
              <w:adjustRightInd w:val="0"/>
              <w:snapToGrid w:val="0"/>
              <w:spacing w:line="400" w:lineRule="exact"/>
              <w:jc w:val="center"/>
              <w:textAlignment w:val="center"/>
              <w:rPr>
                <w:rFonts w:ascii="宋体" w:hAnsi="宋体"/>
              </w:rPr>
            </w:pPr>
            <w:r>
              <w:rPr>
                <w:rFonts w:ascii="宋体" w:hAnsi="宋体"/>
              </w:rPr>
              <w:t>12</w:t>
            </w:r>
          </w:p>
        </w:tc>
        <w:tc>
          <w:tcPr>
            <w:tcW w:w="679" w:type="dxa"/>
            <w:gridSpan w:val="2"/>
            <w:tcMar>
              <w:top w:w="12" w:type="dxa"/>
              <w:left w:w="12" w:type="dxa"/>
              <w:right w:w="12" w:type="dxa"/>
            </w:tcMar>
            <w:vAlign w:val="center"/>
          </w:tcPr>
          <w:p w14:paraId="5C306257">
            <w:pPr>
              <w:widowControl/>
              <w:spacing w:line="440" w:lineRule="exact"/>
              <w:jc w:val="center"/>
              <w:textAlignment w:val="center"/>
              <w:rPr>
                <w:rFonts w:ascii="宋体" w:hAnsi="宋体" w:cs="宋体"/>
              </w:rPr>
            </w:pPr>
          </w:p>
        </w:tc>
      </w:tr>
      <w:tr w14:paraId="179D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524" w:type="dxa"/>
            <w:gridSpan w:val="2"/>
            <w:tcMar>
              <w:top w:w="12" w:type="dxa"/>
              <w:left w:w="12" w:type="dxa"/>
              <w:right w:w="12" w:type="dxa"/>
            </w:tcMar>
            <w:vAlign w:val="center"/>
          </w:tcPr>
          <w:p w14:paraId="32C9E5E6">
            <w:pPr>
              <w:widowControl/>
              <w:spacing w:line="360" w:lineRule="auto"/>
              <w:jc w:val="center"/>
              <w:textAlignment w:val="center"/>
              <w:rPr>
                <w:rFonts w:hint="eastAsia" w:ascii="宋体" w:hAnsi="宋体" w:eastAsia="宋体" w:cs="宋体"/>
                <w:lang w:eastAsia="zh-CN"/>
              </w:rPr>
            </w:pPr>
            <w:r>
              <w:rPr>
                <w:rFonts w:hint="eastAsia" w:ascii="宋体" w:hAnsi="宋体" w:cs="宋体"/>
                <w:lang w:val="en-US" w:eastAsia="zh-CN"/>
              </w:rPr>
              <w:t>三</w:t>
            </w:r>
          </w:p>
        </w:tc>
        <w:tc>
          <w:tcPr>
            <w:tcW w:w="871" w:type="dxa"/>
            <w:gridSpan w:val="2"/>
            <w:tcMar>
              <w:top w:w="12" w:type="dxa"/>
              <w:left w:w="12" w:type="dxa"/>
              <w:right w:w="12" w:type="dxa"/>
            </w:tcMar>
            <w:vAlign w:val="center"/>
          </w:tcPr>
          <w:p w14:paraId="6563C93A">
            <w:pPr>
              <w:adjustRightInd w:val="0"/>
              <w:snapToGrid w:val="0"/>
              <w:spacing w:line="440" w:lineRule="exact"/>
              <w:jc w:val="center"/>
              <w:rPr>
                <w:rFonts w:ascii="宋体" w:hAnsi="宋体" w:cs="宋体"/>
              </w:rPr>
            </w:pPr>
            <w:r>
              <w:rPr>
                <w:rFonts w:hint="eastAsia" w:ascii="宋体" w:hAnsi="宋体" w:cs="宋体"/>
                <w:color w:val="000000"/>
              </w:rPr>
              <w:t>其他一般参数指标满足情况</w:t>
            </w:r>
          </w:p>
        </w:tc>
        <w:tc>
          <w:tcPr>
            <w:tcW w:w="6629" w:type="dxa"/>
            <w:tcMar>
              <w:top w:w="12" w:type="dxa"/>
              <w:left w:w="12" w:type="dxa"/>
              <w:right w:w="12" w:type="dxa"/>
            </w:tcMar>
            <w:vAlign w:val="center"/>
          </w:tcPr>
          <w:p w14:paraId="6BE10B81">
            <w:pPr>
              <w:kinsoku w:val="0"/>
              <w:overflowPunct w:val="0"/>
              <w:autoSpaceDE w:val="0"/>
              <w:autoSpaceDN w:val="0"/>
              <w:spacing w:line="400" w:lineRule="exact"/>
              <w:rPr>
                <w:rFonts w:ascii="宋体" w:hAnsi="宋体"/>
                <w:color w:val="000000"/>
              </w:rPr>
            </w:pPr>
            <w:r>
              <w:rPr>
                <w:rFonts w:hint="eastAsia" w:ascii="宋体" w:hAnsi="宋体" w:cs="宋体"/>
                <w:color w:val="000000"/>
              </w:rPr>
              <w:t>评标委员会根据供应商提供的“技术和服务要求响应表”情况进行评分，未带“★”号和“▲”号的条款为基础技术参数,每负偏离一项扣</w:t>
            </w:r>
            <w:r>
              <w:rPr>
                <w:rFonts w:hint="eastAsia" w:ascii="宋体" w:hAnsi="宋体" w:cs="宋体"/>
                <w:color w:val="000000"/>
                <w:lang w:eastAsia="zh-CN"/>
              </w:rPr>
              <w:t>5</w:t>
            </w:r>
            <w:r>
              <w:rPr>
                <w:rFonts w:hint="eastAsia" w:ascii="宋体" w:hAnsi="宋体" w:cs="宋体"/>
                <w:color w:val="000000"/>
              </w:rPr>
              <w:t>分，扣完为止，满分</w:t>
            </w:r>
            <w:r>
              <w:rPr>
                <w:rFonts w:hint="eastAsia" w:ascii="宋体" w:hAnsi="宋体"/>
                <w:color w:val="000000"/>
                <w:lang w:val="en-US" w:eastAsia="zh-CN"/>
              </w:rPr>
              <w:t>35</w:t>
            </w:r>
            <w:r>
              <w:rPr>
                <w:rFonts w:hint="eastAsia" w:ascii="宋体" w:hAnsi="宋体" w:cs="宋体"/>
                <w:color w:val="000000"/>
              </w:rPr>
              <w:t>分。</w:t>
            </w:r>
          </w:p>
        </w:tc>
        <w:tc>
          <w:tcPr>
            <w:tcW w:w="368" w:type="dxa"/>
            <w:tcMar>
              <w:top w:w="12" w:type="dxa"/>
              <w:left w:w="12" w:type="dxa"/>
              <w:right w:w="12" w:type="dxa"/>
            </w:tcMar>
            <w:vAlign w:val="center"/>
          </w:tcPr>
          <w:p w14:paraId="7E256586">
            <w:pPr>
              <w:widowControl/>
              <w:adjustRightInd w:val="0"/>
              <w:snapToGrid w:val="0"/>
              <w:spacing w:line="400" w:lineRule="exact"/>
              <w:jc w:val="center"/>
              <w:textAlignment w:val="center"/>
              <w:rPr>
                <w:rFonts w:hint="eastAsia" w:ascii="宋体" w:hAnsi="宋体" w:eastAsia="宋体"/>
                <w:color w:val="000000"/>
                <w:lang w:eastAsia="zh-CN"/>
              </w:rPr>
            </w:pPr>
            <w:r>
              <w:rPr>
                <w:rFonts w:hint="eastAsia" w:ascii="宋体" w:hAnsi="宋体"/>
                <w:color w:val="000000"/>
                <w:lang w:eastAsia="zh-CN"/>
              </w:rPr>
              <w:t>35</w:t>
            </w:r>
          </w:p>
        </w:tc>
        <w:tc>
          <w:tcPr>
            <w:tcW w:w="679" w:type="dxa"/>
            <w:gridSpan w:val="2"/>
            <w:tcMar>
              <w:top w:w="12" w:type="dxa"/>
              <w:left w:w="12" w:type="dxa"/>
              <w:right w:w="12" w:type="dxa"/>
            </w:tcMar>
            <w:vAlign w:val="center"/>
          </w:tcPr>
          <w:p w14:paraId="788542DC">
            <w:pPr>
              <w:widowControl/>
              <w:spacing w:line="440" w:lineRule="exact"/>
              <w:jc w:val="center"/>
              <w:textAlignment w:val="center"/>
              <w:rPr>
                <w:rFonts w:ascii="宋体" w:hAnsi="宋体" w:cs="宋体"/>
              </w:rPr>
            </w:pPr>
          </w:p>
        </w:tc>
      </w:tr>
      <w:tr w14:paraId="464A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524" w:type="dxa"/>
            <w:gridSpan w:val="2"/>
            <w:vMerge w:val="restart"/>
            <w:tcMar>
              <w:top w:w="12" w:type="dxa"/>
              <w:left w:w="12" w:type="dxa"/>
              <w:right w:w="12" w:type="dxa"/>
            </w:tcMar>
            <w:vAlign w:val="center"/>
          </w:tcPr>
          <w:p w14:paraId="4B580BE0">
            <w:pPr>
              <w:spacing w:line="360" w:lineRule="auto"/>
              <w:jc w:val="center"/>
              <w:rPr>
                <w:rFonts w:hint="eastAsia" w:ascii="宋体" w:hAnsi="宋体" w:eastAsia="宋体" w:cs="宋体"/>
                <w:lang w:eastAsia="zh-CN"/>
              </w:rPr>
            </w:pPr>
            <w:r>
              <w:rPr>
                <w:rFonts w:hint="eastAsia" w:ascii="宋体" w:hAnsi="宋体" w:cs="宋体"/>
                <w:lang w:val="en-US" w:eastAsia="zh-CN"/>
              </w:rPr>
              <w:t>四</w:t>
            </w:r>
          </w:p>
        </w:tc>
        <w:tc>
          <w:tcPr>
            <w:tcW w:w="871" w:type="dxa"/>
            <w:gridSpan w:val="2"/>
            <w:vMerge w:val="restart"/>
            <w:tcMar>
              <w:top w:w="12" w:type="dxa"/>
              <w:left w:w="12" w:type="dxa"/>
              <w:right w:w="12" w:type="dxa"/>
            </w:tcMar>
            <w:vAlign w:val="center"/>
          </w:tcPr>
          <w:p w14:paraId="450F8980">
            <w:pPr>
              <w:adjustRightInd w:val="0"/>
              <w:snapToGrid w:val="0"/>
              <w:spacing w:line="440" w:lineRule="exact"/>
              <w:jc w:val="center"/>
              <w:rPr>
                <w:rFonts w:ascii="宋体" w:hAnsi="宋体" w:cs="宋体"/>
              </w:rPr>
            </w:pPr>
            <w:r>
              <w:rPr>
                <w:rFonts w:hint="eastAsia" w:ascii="宋体" w:hAnsi="宋体" w:cs="宋体"/>
              </w:rPr>
              <w:t>项目管理和</w:t>
            </w:r>
          </w:p>
          <w:p w14:paraId="579AC111">
            <w:pPr>
              <w:adjustRightInd w:val="0"/>
              <w:snapToGrid w:val="0"/>
              <w:spacing w:line="440" w:lineRule="exact"/>
              <w:jc w:val="center"/>
              <w:rPr>
                <w:rFonts w:ascii="宋体" w:hAnsi="宋体" w:cs="宋体"/>
              </w:rPr>
            </w:pPr>
            <w:r>
              <w:rPr>
                <w:rFonts w:hint="eastAsia" w:ascii="宋体" w:hAnsi="宋体" w:cs="宋体"/>
              </w:rPr>
              <w:t>实施</w:t>
            </w:r>
          </w:p>
        </w:tc>
        <w:tc>
          <w:tcPr>
            <w:tcW w:w="6629" w:type="dxa"/>
            <w:tcMar>
              <w:top w:w="12" w:type="dxa"/>
              <w:left w:w="12" w:type="dxa"/>
              <w:right w:w="12" w:type="dxa"/>
            </w:tcMar>
            <w:vAlign w:val="center"/>
          </w:tcPr>
          <w:p w14:paraId="0DE775FB">
            <w:pPr>
              <w:adjustRightInd w:val="0"/>
              <w:snapToGrid w:val="0"/>
              <w:spacing w:line="400" w:lineRule="exact"/>
              <w:jc w:val="left"/>
              <w:rPr>
                <w:rFonts w:ascii="宋体" w:hAnsi="宋体" w:cs="宋体"/>
              </w:rPr>
            </w:pPr>
            <w:r>
              <w:rPr>
                <w:rFonts w:hint="eastAsia" w:ascii="宋体" w:hAnsi="宋体" w:cs="宋体"/>
              </w:rPr>
              <w:t>实施周期：投标人需提供项目明确的目标、合理的实施周期和进度表。最优的得</w:t>
            </w:r>
            <w:r>
              <w:rPr>
                <w:rFonts w:hint="eastAsia" w:ascii="宋体" w:hAnsi="宋体" w:cs="宋体"/>
                <w:lang w:val="en-US" w:eastAsia="zh-CN"/>
              </w:rPr>
              <w:t>3</w:t>
            </w:r>
            <w:r>
              <w:rPr>
                <w:rFonts w:hint="eastAsia" w:ascii="宋体" w:hAnsi="宋体" w:cs="宋体"/>
              </w:rPr>
              <w:t>，其余依次递减</w:t>
            </w:r>
            <w:r>
              <w:rPr>
                <w:rFonts w:hint="eastAsia" w:ascii="宋体" w:hAnsi="宋体" w:cs="宋体"/>
                <w:lang w:val="en-US" w:eastAsia="zh-CN"/>
              </w:rPr>
              <w:t>1</w:t>
            </w:r>
            <w:r>
              <w:rPr>
                <w:rFonts w:hint="eastAsia" w:ascii="宋体" w:hAnsi="宋体" w:cs="宋体"/>
              </w:rPr>
              <w:t>，扣完为止，未提供不得分。</w:t>
            </w:r>
          </w:p>
        </w:tc>
        <w:tc>
          <w:tcPr>
            <w:tcW w:w="368" w:type="dxa"/>
            <w:tcMar>
              <w:top w:w="12" w:type="dxa"/>
              <w:left w:w="12" w:type="dxa"/>
              <w:right w:w="12" w:type="dxa"/>
            </w:tcMar>
            <w:vAlign w:val="center"/>
          </w:tcPr>
          <w:p w14:paraId="412D9FCE">
            <w:pPr>
              <w:widowControl/>
              <w:adjustRightInd w:val="0"/>
              <w:snapToGrid w:val="0"/>
              <w:spacing w:line="400" w:lineRule="exact"/>
              <w:jc w:val="center"/>
              <w:textAlignment w:val="center"/>
              <w:rPr>
                <w:rFonts w:hint="eastAsia" w:ascii="宋体" w:hAnsi="宋体" w:eastAsia="宋体" w:cs="宋体"/>
                <w:lang w:eastAsia="zh-CN"/>
              </w:rPr>
            </w:pPr>
            <w:r>
              <w:rPr>
                <w:rFonts w:hint="eastAsia" w:ascii="宋体" w:hAnsi="宋体" w:cs="宋体"/>
                <w:lang w:val="en-US" w:eastAsia="zh-CN"/>
              </w:rPr>
              <w:t>3</w:t>
            </w:r>
          </w:p>
        </w:tc>
        <w:tc>
          <w:tcPr>
            <w:tcW w:w="679" w:type="dxa"/>
            <w:gridSpan w:val="2"/>
            <w:tcMar>
              <w:top w:w="12" w:type="dxa"/>
              <w:left w:w="12" w:type="dxa"/>
              <w:right w:w="12" w:type="dxa"/>
            </w:tcMar>
            <w:vAlign w:val="center"/>
          </w:tcPr>
          <w:p w14:paraId="3D2CF668">
            <w:pPr>
              <w:widowControl/>
              <w:spacing w:line="440" w:lineRule="exact"/>
              <w:jc w:val="center"/>
              <w:textAlignment w:val="center"/>
              <w:rPr>
                <w:rFonts w:ascii="宋体" w:hAnsi="宋体" w:cs="宋体"/>
              </w:rPr>
            </w:pPr>
          </w:p>
        </w:tc>
      </w:tr>
      <w:tr w14:paraId="1BAB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24" w:type="dxa"/>
            <w:gridSpan w:val="2"/>
            <w:vMerge w:val="continue"/>
            <w:tcMar>
              <w:top w:w="12" w:type="dxa"/>
              <w:left w:w="12" w:type="dxa"/>
              <w:right w:w="12" w:type="dxa"/>
            </w:tcMar>
            <w:vAlign w:val="center"/>
          </w:tcPr>
          <w:p w14:paraId="485E431E">
            <w:pPr>
              <w:spacing w:line="360" w:lineRule="auto"/>
              <w:jc w:val="center"/>
              <w:rPr>
                <w:rFonts w:ascii="宋体" w:hAnsi="宋体" w:cs="宋体"/>
              </w:rPr>
            </w:pPr>
          </w:p>
        </w:tc>
        <w:tc>
          <w:tcPr>
            <w:tcW w:w="871" w:type="dxa"/>
            <w:gridSpan w:val="2"/>
            <w:vMerge w:val="continue"/>
            <w:tcMar>
              <w:top w:w="12" w:type="dxa"/>
              <w:left w:w="12" w:type="dxa"/>
              <w:right w:w="12" w:type="dxa"/>
            </w:tcMar>
            <w:vAlign w:val="center"/>
          </w:tcPr>
          <w:p w14:paraId="0C1D6776">
            <w:pPr>
              <w:adjustRightInd w:val="0"/>
              <w:snapToGrid w:val="0"/>
              <w:spacing w:line="440" w:lineRule="exact"/>
              <w:jc w:val="center"/>
              <w:rPr>
                <w:rFonts w:ascii="宋体" w:hAnsi="宋体" w:cs="宋体"/>
              </w:rPr>
            </w:pPr>
          </w:p>
        </w:tc>
        <w:tc>
          <w:tcPr>
            <w:tcW w:w="6629" w:type="dxa"/>
            <w:tcMar>
              <w:top w:w="12" w:type="dxa"/>
              <w:left w:w="12" w:type="dxa"/>
              <w:right w:w="12" w:type="dxa"/>
            </w:tcMar>
            <w:vAlign w:val="center"/>
          </w:tcPr>
          <w:p w14:paraId="2E30BBAD">
            <w:pPr>
              <w:adjustRightInd w:val="0"/>
              <w:snapToGrid w:val="0"/>
              <w:spacing w:line="400" w:lineRule="exact"/>
              <w:jc w:val="left"/>
              <w:rPr>
                <w:rFonts w:ascii="宋体" w:hAnsi="宋体" w:cs="宋体"/>
              </w:rPr>
            </w:pPr>
            <w:r>
              <w:rPr>
                <w:rFonts w:hint="eastAsia" w:ascii="宋体" w:hAnsi="宋体" w:cs="宋体"/>
              </w:rPr>
              <w:t>项目风险：投标人需提供整个项目风险评估及控制方案，优的得2分，</w:t>
            </w:r>
            <w:r>
              <w:rPr>
                <w:rFonts w:hint="eastAsia" w:ascii="宋体" w:hAnsi="宋体" w:cs="宋体"/>
                <w:lang w:val="en-US" w:eastAsia="zh-CN"/>
              </w:rPr>
              <w:t>一般得1分</w:t>
            </w:r>
            <w:r>
              <w:rPr>
                <w:rFonts w:hint="eastAsia" w:ascii="宋体" w:hAnsi="宋体" w:cs="宋体"/>
              </w:rPr>
              <w:t>，未提供不得分。</w:t>
            </w:r>
          </w:p>
        </w:tc>
        <w:tc>
          <w:tcPr>
            <w:tcW w:w="368" w:type="dxa"/>
            <w:tcMar>
              <w:top w:w="12" w:type="dxa"/>
              <w:left w:w="12" w:type="dxa"/>
              <w:right w:w="12" w:type="dxa"/>
            </w:tcMar>
            <w:vAlign w:val="center"/>
          </w:tcPr>
          <w:p w14:paraId="5630D699">
            <w:pPr>
              <w:widowControl/>
              <w:adjustRightInd w:val="0"/>
              <w:snapToGrid w:val="0"/>
              <w:spacing w:line="400" w:lineRule="exact"/>
              <w:jc w:val="center"/>
              <w:textAlignment w:val="center"/>
              <w:rPr>
                <w:rFonts w:ascii="宋体" w:hAnsi="宋体" w:cs="宋体"/>
              </w:rPr>
            </w:pPr>
            <w:r>
              <w:rPr>
                <w:rFonts w:hint="eastAsia" w:ascii="宋体" w:hAnsi="宋体" w:cs="宋体"/>
              </w:rPr>
              <w:t>2</w:t>
            </w:r>
          </w:p>
        </w:tc>
        <w:tc>
          <w:tcPr>
            <w:tcW w:w="679" w:type="dxa"/>
            <w:gridSpan w:val="2"/>
            <w:tcMar>
              <w:top w:w="12" w:type="dxa"/>
              <w:left w:w="12" w:type="dxa"/>
              <w:right w:w="12" w:type="dxa"/>
            </w:tcMar>
            <w:vAlign w:val="center"/>
          </w:tcPr>
          <w:p w14:paraId="7F1D2B8B">
            <w:pPr>
              <w:widowControl/>
              <w:spacing w:line="400" w:lineRule="exact"/>
              <w:jc w:val="left"/>
              <w:textAlignment w:val="center"/>
              <w:rPr>
                <w:rFonts w:ascii="宋体" w:hAnsi="宋体" w:cs="宋体"/>
                <w:color w:val="FF0000"/>
                <w:sz w:val="21"/>
                <w:szCs w:val="21"/>
              </w:rPr>
            </w:pPr>
          </w:p>
        </w:tc>
      </w:tr>
      <w:tr w14:paraId="3A45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24" w:type="dxa"/>
            <w:gridSpan w:val="2"/>
            <w:vMerge w:val="restart"/>
            <w:tcMar>
              <w:top w:w="12" w:type="dxa"/>
              <w:left w:w="12" w:type="dxa"/>
              <w:right w:w="12" w:type="dxa"/>
            </w:tcMar>
            <w:vAlign w:val="center"/>
          </w:tcPr>
          <w:p w14:paraId="65421B03">
            <w:pPr>
              <w:spacing w:line="360" w:lineRule="auto"/>
              <w:jc w:val="center"/>
              <w:rPr>
                <w:rFonts w:hint="eastAsia" w:ascii="宋体" w:hAnsi="宋体" w:eastAsia="宋体" w:cs="宋体"/>
                <w:lang w:eastAsia="zh-CN"/>
              </w:rPr>
            </w:pPr>
            <w:r>
              <w:rPr>
                <w:rFonts w:hint="eastAsia" w:ascii="宋体" w:hAnsi="宋体" w:cs="宋体"/>
                <w:lang w:val="en-US" w:eastAsia="zh-CN"/>
              </w:rPr>
              <w:t>五</w:t>
            </w:r>
          </w:p>
        </w:tc>
        <w:tc>
          <w:tcPr>
            <w:tcW w:w="871" w:type="dxa"/>
            <w:gridSpan w:val="2"/>
            <w:vMerge w:val="restart"/>
            <w:tcMar>
              <w:top w:w="12" w:type="dxa"/>
              <w:left w:w="12" w:type="dxa"/>
              <w:right w:w="12" w:type="dxa"/>
            </w:tcMar>
            <w:vAlign w:val="center"/>
          </w:tcPr>
          <w:p w14:paraId="168DE46E">
            <w:pPr>
              <w:adjustRightInd w:val="0"/>
              <w:snapToGrid w:val="0"/>
              <w:spacing w:line="440" w:lineRule="exact"/>
              <w:jc w:val="center"/>
              <w:rPr>
                <w:rFonts w:ascii="宋体" w:hAnsi="宋体" w:cs="宋体"/>
              </w:rPr>
            </w:pPr>
            <w:r>
              <w:rPr>
                <w:rFonts w:hint="eastAsia" w:ascii="宋体" w:hAnsi="宋体" w:cs="宋体"/>
              </w:rPr>
              <w:t>培训和售后服务</w:t>
            </w:r>
          </w:p>
        </w:tc>
        <w:tc>
          <w:tcPr>
            <w:tcW w:w="6629" w:type="dxa"/>
            <w:tcMar>
              <w:top w:w="12" w:type="dxa"/>
              <w:left w:w="12" w:type="dxa"/>
              <w:right w:w="12" w:type="dxa"/>
            </w:tcMar>
            <w:vAlign w:val="center"/>
          </w:tcPr>
          <w:p w14:paraId="3D66689B">
            <w:pPr>
              <w:adjustRightInd w:val="0"/>
              <w:snapToGrid w:val="0"/>
              <w:spacing w:line="400" w:lineRule="exact"/>
              <w:jc w:val="left"/>
              <w:rPr>
                <w:rFonts w:ascii="宋体" w:hAnsi="宋体" w:cs="宋体"/>
              </w:rPr>
            </w:pPr>
            <w:r>
              <w:rPr>
                <w:rFonts w:hint="eastAsia" w:ascii="宋体" w:hAnsi="宋体" w:cs="宋体"/>
              </w:rPr>
              <w:t>根据培训计划方案评审，</w:t>
            </w:r>
            <w:r>
              <w:rPr>
                <w:rFonts w:hint="eastAsia" w:ascii="宋体" w:hAnsi="宋体"/>
                <w:bCs/>
              </w:rPr>
              <w:t>最优的得1分，其余依次递减0.</w:t>
            </w:r>
            <w:r>
              <w:rPr>
                <w:rFonts w:hint="eastAsia" w:ascii="宋体" w:hAnsi="宋体"/>
                <w:bCs/>
                <w:lang w:val="en-US" w:eastAsia="zh-CN"/>
              </w:rPr>
              <w:t>5</w:t>
            </w:r>
            <w:r>
              <w:rPr>
                <w:rFonts w:hint="eastAsia" w:ascii="宋体" w:hAnsi="宋体"/>
                <w:bCs/>
              </w:rPr>
              <w:t>分，扣完为止，未提供不得分。</w:t>
            </w:r>
          </w:p>
        </w:tc>
        <w:tc>
          <w:tcPr>
            <w:tcW w:w="368" w:type="dxa"/>
            <w:tcMar>
              <w:top w:w="12" w:type="dxa"/>
              <w:left w:w="12" w:type="dxa"/>
              <w:right w:w="12" w:type="dxa"/>
            </w:tcMar>
            <w:vAlign w:val="center"/>
          </w:tcPr>
          <w:p w14:paraId="707FC741">
            <w:pPr>
              <w:widowControl/>
              <w:adjustRightInd w:val="0"/>
              <w:snapToGrid w:val="0"/>
              <w:spacing w:line="400" w:lineRule="exact"/>
              <w:jc w:val="center"/>
              <w:textAlignment w:val="center"/>
              <w:rPr>
                <w:rFonts w:ascii="宋体" w:hAnsi="宋体" w:cs="宋体"/>
              </w:rPr>
            </w:pPr>
            <w:r>
              <w:rPr>
                <w:rFonts w:hint="eastAsia" w:ascii="宋体" w:hAnsi="宋体" w:cs="宋体"/>
              </w:rPr>
              <w:t>1</w:t>
            </w:r>
          </w:p>
        </w:tc>
        <w:tc>
          <w:tcPr>
            <w:tcW w:w="679" w:type="dxa"/>
            <w:gridSpan w:val="2"/>
            <w:tcMar>
              <w:top w:w="12" w:type="dxa"/>
              <w:left w:w="12" w:type="dxa"/>
              <w:right w:w="12" w:type="dxa"/>
            </w:tcMar>
            <w:vAlign w:val="center"/>
          </w:tcPr>
          <w:p w14:paraId="00B7CB16">
            <w:pPr>
              <w:spacing w:line="400" w:lineRule="exact"/>
              <w:jc w:val="center"/>
              <w:rPr>
                <w:rFonts w:ascii="宋体" w:hAnsi="宋体" w:cs="宋体"/>
              </w:rPr>
            </w:pPr>
          </w:p>
        </w:tc>
      </w:tr>
      <w:tr w14:paraId="4CA2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44" w:hRule="atLeast"/>
          <w:jc w:val="center"/>
        </w:trPr>
        <w:tc>
          <w:tcPr>
            <w:tcW w:w="524" w:type="dxa"/>
            <w:gridSpan w:val="2"/>
            <w:vMerge w:val="continue"/>
            <w:tcMar>
              <w:top w:w="12" w:type="dxa"/>
              <w:left w:w="12" w:type="dxa"/>
              <w:right w:w="12" w:type="dxa"/>
            </w:tcMar>
            <w:vAlign w:val="center"/>
          </w:tcPr>
          <w:p w14:paraId="4CC529E1">
            <w:pPr>
              <w:spacing w:line="360" w:lineRule="auto"/>
              <w:jc w:val="center"/>
              <w:rPr>
                <w:rFonts w:ascii="宋体" w:hAnsi="宋体" w:cs="宋体"/>
              </w:rPr>
            </w:pPr>
          </w:p>
        </w:tc>
        <w:tc>
          <w:tcPr>
            <w:tcW w:w="871" w:type="dxa"/>
            <w:gridSpan w:val="2"/>
            <w:vMerge w:val="continue"/>
            <w:tcMar>
              <w:top w:w="12" w:type="dxa"/>
              <w:left w:w="12" w:type="dxa"/>
              <w:right w:w="12" w:type="dxa"/>
            </w:tcMar>
            <w:vAlign w:val="center"/>
          </w:tcPr>
          <w:p w14:paraId="27E9D3B1">
            <w:pPr>
              <w:adjustRightInd w:val="0"/>
              <w:snapToGrid w:val="0"/>
              <w:spacing w:line="440" w:lineRule="exact"/>
              <w:jc w:val="center"/>
              <w:rPr>
                <w:rFonts w:ascii="宋体" w:hAnsi="宋体" w:cs="宋体"/>
              </w:rPr>
            </w:pPr>
          </w:p>
        </w:tc>
        <w:tc>
          <w:tcPr>
            <w:tcW w:w="6629" w:type="dxa"/>
            <w:tcMar>
              <w:top w:w="12" w:type="dxa"/>
              <w:left w:w="12" w:type="dxa"/>
              <w:right w:w="12" w:type="dxa"/>
            </w:tcMar>
            <w:vAlign w:val="center"/>
          </w:tcPr>
          <w:p w14:paraId="0AB850F1">
            <w:pPr>
              <w:spacing w:line="400" w:lineRule="exact"/>
              <w:jc w:val="left"/>
              <w:rPr>
                <w:rStyle w:val="16"/>
                <w:rFonts w:ascii="宋体" w:hAnsi="宋体" w:cs="仿宋"/>
                <w:color w:val="000000"/>
              </w:rPr>
            </w:pPr>
            <w:r>
              <w:rPr>
                <w:rStyle w:val="16"/>
                <w:rFonts w:hint="eastAsia" w:ascii="宋体" w:hAnsi="宋体" w:cs="仿宋"/>
                <w:color w:val="000000"/>
              </w:rPr>
              <w:t>服务期限：在保修期要求的基础上，每增加1年增加1.5分，满分3分(提供原厂服务承诺函并加盖投标人公章)。</w:t>
            </w:r>
          </w:p>
        </w:tc>
        <w:tc>
          <w:tcPr>
            <w:tcW w:w="368" w:type="dxa"/>
            <w:tcMar>
              <w:top w:w="12" w:type="dxa"/>
              <w:left w:w="12" w:type="dxa"/>
              <w:right w:w="12" w:type="dxa"/>
            </w:tcMar>
            <w:vAlign w:val="center"/>
          </w:tcPr>
          <w:p w14:paraId="07210025">
            <w:pPr>
              <w:spacing w:line="400" w:lineRule="exact"/>
              <w:jc w:val="center"/>
              <w:rPr>
                <w:rStyle w:val="16"/>
                <w:rFonts w:ascii="宋体" w:hAnsi="宋体" w:cs="仿宋"/>
                <w:color w:val="000000"/>
              </w:rPr>
            </w:pPr>
            <w:r>
              <w:rPr>
                <w:rStyle w:val="16"/>
                <w:rFonts w:hint="eastAsia" w:ascii="宋体" w:hAnsi="宋体" w:cs="仿宋"/>
                <w:color w:val="000000"/>
              </w:rPr>
              <w:t>3</w:t>
            </w:r>
          </w:p>
        </w:tc>
        <w:tc>
          <w:tcPr>
            <w:tcW w:w="679" w:type="dxa"/>
            <w:gridSpan w:val="2"/>
            <w:tcMar>
              <w:top w:w="12" w:type="dxa"/>
              <w:left w:w="12" w:type="dxa"/>
              <w:right w:w="12" w:type="dxa"/>
            </w:tcMar>
            <w:vAlign w:val="center"/>
          </w:tcPr>
          <w:p w14:paraId="5D347FE1">
            <w:pPr>
              <w:spacing w:line="400" w:lineRule="exact"/>
              <w:jc w:val="center"/>
              <w:rPr>
                <w:rFonts w:ascii="宋体" w:hAnsi="宋体" w:cs="宋体"/>
              </w:rPr>
            </w:pPr>
          </w:p>
        </w:tc>
      </w:tr>
      <w:tr w14:paraId="7B19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44" w:hRule="atLeast"/>
          <w:jc w:val="center"/>
        </w:trPr>
        <w:tc>
          <w:tcPr>
            <w:tcW w:w="524" w:type="dxa"/>
            <w:gridSpan w:val="2"/>
            <w:vMerge w:val="continue"/>
            <w:tcMar>
              <w:top w:w="12" w:type="dxa"/>
              <w:left w:w="12" w:type="dxa"/>
              <w:right w:w="12" w:type="dxa"/>
            </w:tcMar>
            <w:vAlign w:val="center"/>
          </w:tcPr>
          <w:p w14:paraId="10F30FE6">
            <w:pPr>
              <w:spacing w:line="360" w:lineRule="auto"/>
              <w:jc w:val="center"/>
              <w:rPr>
                <w:rFonts w:ascii="宋体" w:hAnsi="宋体" w:cs="宋体"/>
              </w:rPr>
            </w:pPr>
          </w:p>
        </w:tc>
        <w:tc>
          <w:tcPr>
            <w:tcW w:w="871" w:type="dxa"/>
            <w:gridSpan w:val="2"/>
            <w:vMerge w:val="continue"/>
            <w:tcMar>
              <w:top w:w="12" w:type="dxa"/>
              <w:left w:w="12" w:type="dxa"/>
              <w:right w:w="12" w:type="dxa"/>
            </w:tcMar>
            <w:vAlign w:val="center"/>
          </w:tcPr>
          <w:p w14:paraId="3B78D3AD">
            <w:pPr>
              <w:adjustRightInd w:val="0"/>
              <w:snapToGrid w:val="0"/>
              <w:spacing w:line="440" w:lineRule="exact"/>
              <w:jc w:val="center"/>
              <w:rPr>
                <w:rFonts w:ascii="宋体" w:hAnsi="宋体" w:cs="宋体"/>
              </w:rPr>
            </w:pPr>
          </w:p>
        </w:tc>
        <w:tc>
          <w:tcPr>
            <w:tcW w:w="6629" w:type="dxa"/>
            <w:tcMar>
              <w:top w:w="12" w:type="dxa"/>
              <w:left w:w="12" w:type="dxa"/>
              <w:right w:w="12" w:type="dxa"/>
            </w:tcMar>
            <w:vAlign w:val="center"/>
          </w:tcPr>
          <w:p w14:paraId="56B21380">
            <w:pPr>
              <w:spacing w:line="400" w:lineRule="exact"/>
              <w:jc w:val="left"/>
              <w:rPr>
                <w:rStyle w:val="16"/>
                <w:rFonts w:ascii="宋体" w:hAnsi="宋体" w:cs="仿宋"/>
                <w:color w:val="000000"/>
              </w:rPr>
            </w:pPr>
            <w:r>
              <w:rPr>
                <w:rStyle w:val="16"/>
                <w:rFonts w:hint="eastAsia" w:ascii="宋体" w:hAnsi="宋体" w:cs="仿宋"/>
                <w:color w:val="000000"/>
              </w:rPr>
              <w:t>按照报价方承诺的零配件保证供应时间长短排名，时间</w:t>
            </w:r>
            <w:r>
              <w:rPr>
                <w:rStyle w:val="16"/>
                <w:rFonts w:hint="eastAsia" w:ascii="宋体" w:hAnsi="宋体" w:cs="仿宋"/>
                <w:color w:val="000000"/>
                <w:lang w:val="en-US" w:eastAsia="zh-CN"/>
              </w:rPr>
              <w:t>最长</w:t>
            </w:r>
            <w:r>
              <w:rPr>
                <w:rStyle w:val="16"/>
                <w:rFonts w:hint="eastAsia" w:ascii="宋体" w:hAnsi="宋体" w:cs="仿宋"/>
                <w:color w:val="000000"/>
              </w:rPr>
              <w:t>的得2分，依次递减0.5分，最低得0分。</w:t>
            </w:r>
          </w:p>
        </w:tc>
        <w:tc>
          <w:tcPr>
            <w:tcW w:w="368" w:type="dxa"/>
            <w:tcMar>
              <w:top w:w="12" w:type="dxa"/>
              <w:left w:w="12" w:type="dxa"/>
              <w:right w:w="12" w:type="dxa"/>
            </w:tcMar>
            <w:vAlign w:val="center"/>
          </w:tcPr>
          <w:p w14:paraId="52D6F75F">
            <w:pPr>
              <w:spacing w:line="400" w:lineRule="exact"/>
              <w:jc w:val="center"/>
              <w:rPr>
                <w:rStyle w:val="16"/>
                <w:rFonts w:ascii="宋体" w:hAnsi="宋体" w:cs="仿宋"/>
                <w:color w:val="000000"/>
              </w:rPr>
            </w:pPr>
            <w:r>
              <w:rPr>
                <w:rStyle w:val="16"/>
                <w:rFonts w:hint="eastAsia" w:ascii="宋体" w:hAnsi="宋体" w:cs="仿宋"/>
                <w:color w:val="000000"/>
              </w:rPr>
              <w:t>2</w:t>
            </w:r>
          </w:p>
        </w:tc>
        <w:tc>
          <w:tcPr>
            <w:tcW w:w="679" w:type="dxa"/>
            <w:gridSpan w:val="2"/>
            <w:tcMar>
              <w:top w:w="12" w:type="dxa"/>
              <w:left w:w="12" w:type="dxa"/>
              <w:right w:w="12" w:type="dxa"/>
            </w:tcMar>
            <w:vAlign w:val="center"/>
          </w:tcPr>
          <w:p w14:paraId="52868DE6">
            <w:pPr>
              <w:spacing w:line="400" w:lineRule="exact"/>
              <w:jc w:val="center"/>
              <w:rPr>
                <w:rFonts w:ascii="宋体" w:hAnsi="宋体" w:cs="宋体"/>
              </w:rPr>
            </w:pPr>
          </w:p>
        </w:tc>
      </w:tr>
      <w:tr w14:paraId="0EBE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44" w:hRule="atLeast"/>
          <w:jc w:val="center"/>
        </w:trPr>
        <w:tc>
          <w:tcPr>
            <w:tcW w:w="524" w:type="dxa"/>
            <w:gridSpan w:val="2"/>
            <w:vMerge w:val="continue"/>
            <w:tcMar>
              <w:top w:w="12" w:type="dxa"/>
              <w:left w:w="12" w:type="dxa"/>
              <w:right w:w="12" w:type="dxa"/>
            </w:tcMar>
            <w:vAlign w:val="center"/>
          </w:tcPr>
          <w:p w14:paraId="3EC715D2">
            <w:pPr>
              <w:spacing w:line="360" w:lineRule="auto"/>
              <w:jc w:val="center"/>
              <w:rPr>
                <w:rFonts w:ascii="宋体" w:hAnsi="宋体" w:cs="宋体"/>
              </w:rPr>
            </w:pPr>
          </w:p>
        </w:tc>
        <w:tc>
          <w:tcPr>
            <w:tcW w:w="871" w:type="dxa"/>
            <w:gridSpan w:val="2"/>
            <w:vMerge w:val="continue"/>
            <w:tcMar>
              <w:top w:w="12" w:type="dxa"/>
              <w:left w:w="12" w:type="dxa"/>
              <w:right w:w="12" w:type="dxa"/>
            </w:tcMar>
            <w:vAlign w:val="center"/>
          </w:tcPr>
          <w:p w14:paraId="1F59E341">
            <w:pPr>
              <w:adjustRightInd w:val="0"/>
              <w:snapToGrid w:val="0"/>
              <w:spacing w:line="440" w:lineRule="exact"/>
              <w:jc w:val="center"/>
              <w:rPr>
                <w:rFonts w:ascii="宋体" w:hAnsi="宋体" w:cs="宋体"/>
              </w:rPr>
            </w:pPr>
          </w:p>
        </w:tc>
        <w:tc>
          <w:tcPr>
            <w:tcW w:w="6629" w:type="dxa"/>
            <w:tcMar>
              <w:top w:w="12" w:type="dxa"/>
              <w:left w:w="12" w:type="dxa"/>
              <w:right w:w="12" w:type="dxa"/>
            </w:tcMar>
            <w:vAlign w:val="center"/>
          </w:tcPr>
          <w:p w14:paraId="1A4FBF86">
            <w:pPr>
              <w:spacing w:line="400" w:lineRule="exact"/>
              <w:jc w:val="left"/>
              <w:rPr>
                <w:rStyle w:val="16"/>
                <w:rFonts w:ascii="宋体" w:hAnsi="宋体" w:cs="仿宋"/>
                <w:color w:val="000000"/>
              </w:rPr>
            </w:pPr>
            <w:r>
              <w:rPr>
                <w:rStyle w:val="16"/>
                <w:rFonts w:hint="eastAsia" w:ascii="宋体" w:hAnsi="宋体" w:cs="仿宋"/>
                <w:color w:val="000000"/>
              </w:rPr>
              <w:t>投标人应提交维护响应时间、修复时间、应急预案、维护服务人员配备及管理措施等方案，根据方案完整合理性进行评价，优的得</w:t>
            </w:r>
            <w:r>
              <w:rPr>
                <w:rStyle w:val="16"/>
                <w:rFonts w:hint="eastAsia" w:ascii="宋体" w:hAnsi="宋体" w:cs="仿宋"/>
                <w:color w:val="000000"/>
                <w:lang w:val="en-US" w:eastAsia="zh-CN"/>
              </w:rPr>
              <w:t>5-6</w:t>
            </w:r>
            <w:r>
              <w:rPr>
                <w:rStyle w:val="16"/>
                <w:rFonts w:hint="eastAsia" w:ascii="宋体" w:hAnsi="宋体" w:cs="仿宋"/>
                <w:color w:val="000000"/>
              </w:rPr>
              <w:t>分</w:t>
            </w:r>
            <w:r>
              <w:rPr>
                <w:rStyle w:val="16"/>
                <w:rFonts w:hint="eastAsia" w:ascii="宋体" w:hAnsi="宋体" w:cs="仿宋"/>
                <w:color w:val="000000"/>
                <w:lang w:val="en-US" w:eastAsia="zh-CN"/>
              </w:rPr>
              <w:t>,良的得3-4分，一般1-2分。</w:t>
            </w:r>
            <w:r>
              <w:rPr>
                <w:rStyle w:val="16"/>
                <w:rFonts w:hint="eastAsia" w:ascii="宋体" w:hAnsi="宋体" w:cs="仿宋"/>
                <w:color w:val="000000"/>
              </w:rPr>
              <w:t>未提供不得分。</w:t>
            </w:r>
          </w:p>
        </w:tc>
        <w:tc>
          <w:tcPr>
            <w:tcW w:w="368" w:type="dxa"/>
            <w:tcMar>
              <w:top w:w="12" w:type="dxa"/>
              <w:left w:w="12" w:type="dxa"/>
              <w:right w:w="12" w:type="dxa"/>
            </w:tcMar>
            <w:vAlign w:val="center"/>
          </w:tcPr>
          <w:p w14:paraId="01865255">
            <w:pPr>
              <w:spacing w:line="400" w:lineRule="exact"/>
              <w:jc w:val="center"/>
              <w:rPr>
                <w:rStyle w:val="16"/>
                <w:rFonts w:hint="eastAsia" w:ascii="宋体" w:hAnsi="宋体" w:eastAsia="宋体" w:cs="仿宋"/>
                <w:color w:val="000000"/>
                <w:lang w:eastAsia="zh-CN"/>
              </w:rPr>
            </w:pPr>
            <w:r>
              <w:rPr>
                <w:rStyle w:val="16"/>
                <w:rFonts w:hint="eastAsia" w:ascii="宋体" w:hAnsi="宋体" w:cs="仿宋"/>
                <w:color w:val="000000"/>
                <w:lang w:val="en-US" w:eastAsia="zh-CN"/>
              </w:rPr>
              <w:t>6</w:t>
            </w:r>
          </w:p>
        </w:tc>
        <w:tc>
          <w:tcPr>
            <w:tcW w:w="679" w:type="dxa"/>
            <w:gridSpan w:val="2"/>
            <w:tcMar>
              <w:top w:w="12" w:type="dxa"/>
              <w:left w:w="12" w:type="dxa"/>
              <w:right w:w="12" w:type="dxa"/>
            </w:tcMar>
            <w:vAlign w:val="center"/>
          </w:tcPr>
          <w:p w14:paraId="68E21629">
            <w:pPr>
              <w:spacing w:line="400" w:lineRule="exact"/>
              <w:jc w:val="center"/>
              <w:rPr>
                <w:rFonts w:ascii="宋体" w:hAnsi="宋体" w:cs="宋体"/>
              </w:rPr>
            </w:pPr>
          </w:p>
        </w:tc>
      </w:tr>
      <w:tr w14:paraId="18B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1612" w:hRule="atLeast"/>
          <w:jc w:val="center"/>
        </w:trPr>
        <w:tc>
          <w:tcPr>
            <w:tcW w:w="524" w:type="dxa"/>
            <w:gridSpan w:val="2"/>
            <w:vMerge w:val="continue"/>
            <w:tcMar>
              <w:top w:w="12" w:type="dxa"/>
              <w:left w:w="12" w:type="dxa"/>
              <w:right w:w="12" w:type="dxa"/>
            </w:tcMar>
            <w:vAlign w:val="center"/>
          </w:tcPr>
          <w:p w14:paraId="72AFC5B0">
            <w:pPr>
              <w:spacing w:line="360" w:lineRule="auto"/>
              <w:jc w:val="center"/>
              <w:rPr>
                <w:rFonts w:ascii="宋体" w:hAnsi="宋体" w:cs="宋体"/>
              </w:rPr>
            </w:pPr>
          </w:p>
        </w:tc>
        <w:tc>
          <w:tcPr>
            <w:tcW w:w="871" w:type="dxa"/>
            <w:gridSpan w:val="2"/>
            <w:vMerge w:val="continue"/>
            <w:tcMar>
              <w:top w:w="12" w:type="dxa"/>
              <w:left w:w="12" w:type="dxa"/>
              <w:right w:w="12" w:type="dxa"/>
            </w:tcMar>
            <w:vAlign w:val="center"/>
          </w:tcPr>
          <w:p w14:paraId="574D9842">
            <w:pPr>
              <w:adjustRightInd w:val="0"/>
              <w:snapToGrid w:val="0"/>
              <w:spacing w:line="440" w:lineRule="exact"/>
              <w:jc w:val="center"/>
              <w:rPr>
                <w:rFonts w:ascii="宋体" w:hAnsi="宋体" w:cs="宋体"/>
              </w:rPr>
            </w:pPr>
          </w:p>
        </w:tc>
        <w:tc>
          <w:tcPr>
            <w:tcW w:w="6629" w:type="dxa"/>
            <w:tcMar>
              <w:top w:w="12" w:type="dxa"/>
              <w:left w:w="12" w:type="dxa"/>
              <w:right w:w="12" w:type="dxa"/>
            </w:tcMar>
            <w:vAlign w:val="center"/>
          </w:tcPr>
          <w:p w14:paraId="45D76EA4">
            <w:pPr>
              <w:spacing w:line="400" w:lineRule="exact"/>
              <w:jc w:val="left"/>
              <w:rPr>
                <w:rStyle w:val="16"/>
                <w:rFonts w:hint="default" w:ascii="宋体" w:hAnsi="宋体" w:eastAsia="宋体" w:cs="仿宋"/>
                <w:color w:val="000000"/>
                <w:lang w:val="en-US" w:eastAsia="zh-CN"/>
              </w:rPr>
            </w:pPr>
            <w:r>
              <w:rPr>
                <w:rStyle w:val="16"/>
                <w:rFonts w:hint="eastAsia" w:ascii="宋体" w:hAnsi="宋体" w:cs="仿宋"/>
                <w:color w:val="000000"/>
              </w:rPr>
              <w:t>产品和品牌具有较</w:t>
            </w:r>
            <w:bookmarkStart w:id="0" w:name="_GoBack"/>
            <w:r>
              <w:rPr>
                <w:rStyle w:val="16"/>
                <w:rFonts w:hint="eastAsia" w:ascii="宋体" w:hAnsi="宋体" w:cs="仿宋"/>
                <w:color w:val="000000"/>
              </w:rPr>
              <w:t>高知名度及广泛普及度，提供指定地点的现场服务支持，具备全国各主要省份的售后服务网络和对应的24小时服务支持热线</w:t>
            </w:r>
            <w:r>
              <w:rPr>
                <w:rStyle w:val="16"/>
                <w:rFonts w:hint="eastAsia" w:ascii="宋体" w:hAnsi="宋体" w:cs="仿宋"/>
                <w:color w:val="000000"/>
                <w:lang w:eastAsia="zh-CN"/>
              </w:rPr>
              <w:t>。</w:t>
            </w:r>
            <w:r>
              <w:rPr>
                <w:rStyle w:val="16"/>
                <w:rFonts w:hint="eastAsia" w:ascii="宋体" w:hAnsi="宋体" w:cs="仿宋"/>
                <w:color w:val="000000"/>
                <w:lang w:val="en-US" w:eastAsia="zh-CN"/>
              </w:rPr>
              <w:t>根据情况优得3分，</w:t>
            </w:r>
            <w:r>
              <w:rPr>
                <w:rStyle w:val="16"/>
                <w:rFonts w:hint="eastAsia" w:ascii="宋体" w:hAnsi="宋体" w:cs="仿宋"/>
                <w:color w:val="000000"/>
                <w:lang w:val="en-US" w:eastAsia="zh-CN"/>
              </w:rPr>
              <w:t>良得2分，一般得1分，未提供不得分。</w:t>
            </w:r>
            <w:bookmarkEnd w:id="0"/>
          </w:p>
        </w:tc>
        <w:tc>
          <w:tcPr>
            <w:tcW w:w="368" w:type="dxa"/>
            <w:tcMar>
              <w:top w:w="12" w:type="dxa"/>
              <w:left w:w="12" w:type="dxa"/>
              <w:right w:w="12" w:type="dxa"/>
            </w:tcMar>
            <w:vAlign w:val="center"/>
          </w:tcPr>
          <w:p w14:paraId="30684036">
            <w:pPr>
              <w:spacing w:line="400" w:lineRule="exact"/>
              <w:jc w:val="center"/>
              <w:rPr>
                <w:rStyle w:val="16"/>
                <w:rFonts w:hint="eastAsia" w:ascii="宋体" w:hAnsi="宋体" w:eastAsia="宋体" w:cs="仿宋"/>
                <w:color w:val="000000"/>
                <w:lang w:eastAsia="zh-CN"/>
              </w:rPr>
            </w:pPr>
            <w:r>
              <w:rPr>
                <w:rStyle w:val="16"/>
                <w:rFonts w:hint="eastAsia" w:ascii="宋体" w:hAnsi="宋体" w:cs="仿宋"/>
                <w:color w:val="000000"/>
                <w:lang w:val="en-US" w:eastAsia="zh-CN"/>
              </w:rPr>
              <w:t>3</w:t>
            </w:r>
          </w:p>
        </w:tc>
        <w:tc>
          <w:tcPr>
            <w:tcW w:w="679" w:type="dxa"/>
            <w:gridSpan w:val="2"/>
            <w:tcMar>
              <w:top w:w="12" w:type="dxa"/>
              <w:left w:w="12" w:type="dxa"/>
              <w:right w:w="12" w:type="dxa"/>
            </w:tcMar>
            <w:vAlign w:val="center"/>
          </w:tcPr>
          <w:p w14:paraId="468A6B28">
            <w:pPr>
              <w:spacing w:line="400" w:lineRule="exact"/>
              <w:jc w:val="center"/>
              <w:rPr>
                <w:rFonts w:ascii="宋体" w:hAnsi="宋体" w:cs="宋体"/>
              </w:rPr>
            </w:pPr>
          </w:p>
        </w:tc>
      </w:tr>
      <w:tr w14:paraId="63D0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848" w:hRule="atLeast"/>
          <w:jc w:val="center"/>
        </w:trPr>
        <w:tc>
          <w:tcPr>
            <w:tcW w:w="518" w:type="dxa"/>
            <w:tcMar>
              <w:top w:w="12" w:type="dxa"/>
              <w:left w:w="12" w:type="dxa"/>
              <w:right w:w="12" w:type="dxa"/>
            </w:tcMar>
            <w:vAlign w:val="center"/>
          </w:tcPr>
          <w:p w14:paraId="4CCAF49D">
            <w:pPr>
              <w:spacing w:line="360" w:lineRule="auto"/>
              <w:jc w:val="center"/>
              <w:rPr>
                <w:rFonts w:ascii="宋体" w:hAnsi="宋体" w:cs="宋体"/>
              </w:rPr>
            </w:pPr>
          </w:p>
        </w:tc>
        <w:tc>
          <w:tcPr>
            <w:tcW w:w="871" w:type="dxa"/>
            <w:gridSpan w:val="2"/>
            <w:tcMar>
              <w:top w:w="12" w:type="dxa"/>
              <w:left w:w="12" w:type="dxa"/>
              <w:right w:w="12" w:type="dxa"/>
            </w:tcMar>
            <w:vAlign w:val="center"/>
          </w:tcPr>
          <w:p w14:paraId="7B1F4339">
            <w:pPr>
              <w:adjustRightInd w:val="0"/>
              <w:snapToGrid w:val="0"/>
              <w:spacing w:line="440" w:lineRule="exact"/>
              <w:jc w:val="center"/>
              <w:rPr>
                <w:rFonts w:ascii="宋体" w:hAnsi="宋体" w:cs="宋体"/>
              </w:rPr>
            </w:pPr>
            <w:r>
              <w:rPr>
                <w:rFonts w:hint="eastAsia" w:ascii="宋体" w:hAnsi="宋体" w:cs="宋体"/>
              </w:rPr>
              <w:t>总分</w:t>
            </w:r>
          </w:p>
        </w:tc>
        <w:tc>
          <w:tcPr>
            <w:tcW w:w="6635" w:type="dxa"/>
            <w:gridSpan w:val="2"/>
            <w:tcMar>
              <w:top w:w="12" w:type="dxa"/>
              <w:left w:w="12" w:type="dxa"/>
              <w:right w:w="12" w:type="dxa"/>
            </w:tcMar>
            <w:vAlign w:val="center"/>
          </w:tcPr>
          <w:p w14:paraId="21C05223">
            <w:pPr>
              <w:spacing w:line="400" w:lineRule="exact"/>
              <w:jc w:val="left"/>
              <w:rPr>
                <w:rStyle w:val="16"/>
                <w:rFonts w:ascii="宋体" w:hAnsi="宋体" w:cs="仿宋"/>
                <w:color w:val="000000"/>
              </w:rPr>
            </w:pPr>
          </w:p>
        </w:tc>
        <w:tc>
          <w:tcPr>
            <w:tcW w:w="368" w:type="dxa"/>
            <w:tcMar>
              <w:top w:w="12" w:type="dxa"/>
              <w:left w:w="12" w:type="dxa"/>
              <w:right w:w="12" w:type="dxa"/>
            </w:tcMar>
            <w:vAlign w:val="center"/>
          </w:tcPr>
          <w:p w14:paraId="715398CB">
            <w:pPr>
              <w:spacing w:line="400" w:lineRule="exact"/>
              <w:jc w:val="center"/>
              <w:rPr>
                <w:rStyle w:val="16"/>
                <w:rFonts w:ascii="宋体" w:hAnsi="宋体" w:cs="仿宋"/>
                <w:color w:val="000000"/>
              </w:rPr>
            </w:pPr>
            <w:r>
              <w:rPr>
                <w:rStyle w:val="16"/>
                <w:rFonts w:hint="eastAsia" w:ascii="宋体" w:hAnsi="宋体" w:cs="仿宋"/>
                <w:color w:val="000000"/>
              </w:rPr>
              <w:t>70</w:t>
            </w:r>
          </w:p>
        </w:tc>
        <w:tc>
          <w:tcPr>
            <w:tcW w:w="679" w:type="dxa"/>
            <w:gridSpan w:val="2"/>
            <w:tcMar>
              <w:top w:w="12" w:type="dxa"/>
              <w:left w:w="12" w:type="dxa"/>
              <w:right w:w="12" w:type="dxa"/>
            </w:tcMar>
            <w:vAlign w:val="center"/>
          </w:tcPr>
          <w:p w14:paraId="4B5C6E60">
            <w:pPr>
              <w:spacing w:line="400" w:lineRule="exact"/>
              <w:jc w:val="center"/>
              <w:rPr>
                <w:rFonts w:ascii="宋体" w:hAnsi="宋体" w:cs="宋体"/>
              </w:rPr>
            </w:pPr>
          </w:p>
        </w:tc>
      </w:tr>
      <w:tr w14:paraId="3F4A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548" w:hRule="atLeast"/>
          <w:jc w:val="center"/>
        </w:trPr>
        <w:tc>
          <w:tcPr>
            <w:tcW w:w="9071" w:type="dxa"/>
            <w:gridSpan w:val="8"/>
            <w:tcMar>
              <w:top w:w="12" w:type="dxa"/>
              <w:left w:w="12" w:type="dxa"/>
              <w:right w:w="12" w:type="dxa"/>
            </w:tcMar>
            <w:vAlign w:val="center"/>
          </w:tcPr>
          <w:p w14:paraId="28002AA7">
            <w:pPr>
              <w:spacing w:line="400" w:lineRule="exact"/>
              <w:jc w:val="center"/>
              <w:rPr>
                <w:rFonts w:ascii="宋体" w:hAnsi="宋体" w:cs="宋体"/>
              </w:rPr>
            </w:pPr>
            <w:r>
              <w:rPr>
                <w:rFonts w:hint="eastAsia" w:ascii="宋体" w:hAnsi="宋体" w:cs="宋体"/>
                <w:b/>
              </w:rPr>
              <w:t>技术评分低于技术评审总分的50%视为无效投标</w:t>
            </w:r>
          </w:p>
        </w:tc>
      </w:tr>
    </w:tbl>
    <w:p w14:paraId="788A5C85">
      <w:pPr>
        <w:pStyle w:val="21"/>
        <w:tabs>
          <w:tab w:val="left" w:pos="430"/>
        </w:tabs>
        <w:spacing w:before="156" w:beforeLines="50" w:after="156" w:afterLines="50" w:line="240" w:lineRule="exact"/>
        <w:ind w:firstLine="482"/>
        <w:rPr>
          <w:rFonts w:ascii="宋体" w:hAnsi="宋体"/>
          <w:b/>
          <w:color w:val="000000"/>
        </w:rPr>
      </w:pPr>
      <w:r>
        <w:rPr>
          <w:rFonts w:hint="eastAsia" w:ascii="宋体" w:hAnsi="宋体"/>
          <w:b/>
          <w:color w:val="000000"/>
        </w:rPr>
        <w:t>技术、资信及商务分的计算</w:t>
      </w:r>
    </w:p>
    <w:p w14:paraId="6F0C5413">
      <w:pPr>
        <w:spacing w:before="156" w:beforeLines="50" w:after="156" w:afterLines="50" w:line="400" w:lineRule="exact"/>
        <w:ind w:firstLine="480" w:firstLineChars="200"/>
        <w:rPr>
          <w:rFonts w:ascii="宋体" w:hAnsi="宋体"/>
          <w:color w:val="000000"/>
        </w:rPr>
      </w:pPr>
      <w:r>
        <w:rPr>
          <w:rFonts w:hint="eastAsia" w:ascii="宋体" w:hAnsi="宋体"/>
          <w:color w:val="000000"/>
        </w:rPr>
        <w:t>技术、资信及商务分按照评标委员会成员的独立评分结果汇总数、算术平均分计算，计算公式为：技术、资信及商务得分=（评标委员会所有成员评分合计数）/（评标委员会组成人员数）</w:t>
      </w:r>
    </w:p>
    <w:p w14:paraId="6C5D7A94">
      <w:pPr>
        <w:pStyle w:val="3"/>
      </w:pPr>
    </w:p>
    <w:p w14:paraId="619990FD">
      <w:pPr>
        <w:jc w:val="center"/>
        <w:rPr>
          <w:rFonts w:hAnsi="宋体"/>
          <w:b/>
          <w:color w:val="000000"/>
          <w:sz w:val="36"/>
          <w:szCs w:val="36"/>
        </w:rPr>
      </w:pPr>
      <w:r>
        <w:rPr>
          <w:rFonts w:hint="eastAsia" w:hAnsi="宋体"/>
          <w:b/>
          <w:color w:val="000000"/>
          <w:sz w:val="36"/>
          <w:szCs w:val="36"/>
        </w:rPr>
        <w:t>招标需求</w:t>
      </w:r>
    </w:p>
    <w:p w14:paraId="5B5C2488">
      <w:pPr>
        <w:pStyle w:val="10"/>
        <w:ind w:firstLine="0" w:firstLineChars="0"/>
        <w:jc w:val="center"/>
        <w:rPr>
          <w:rFonts w:hAnsi="宋体" w:cs="Arial"/>
          <w:b/>
        </w:rPr>
      </w:pPr>
      <w:r>
        <w:rPr>
          <w:rFonts w:hint="eastAsia" w:hAnsi="宋体" w:cs="Arial"/>
          <w:b/>
        </w:rPr>
        <w:t>（</w:t>
      </w:r>
      <w:r>
        <w:rPr>
          <w:rFonts w:hint="eastAsia" w:hAnsi="宋体" w:cs="Arial"/>
          <w:b/>
          <w:color w:val="000000"/>
          <w:sz w:val="20"/>
          <w:szCs w:val="21"/>
        </w:rPr>
        <w:t>带“</w:t>
      </w:r>
      <w:r>
        <w:rPr>
          <w:rFonts w:hint="eastAsia" w:ascii="Arial" w:hAnsi="Arial" w:cs="Arial"/>
          <w:b/>
          <w:color w:val="000000"/>
          <w:sz w:val="20"/>
          <w:szCs w:val="21"/>
        </w:rPr>
        <w:t>▲”为核心产品,</w:t>
      </w:r>
      <w:r>
        <w:rPr>
          <w:rFonts w:hint="eastAsia" w:hAnsi="宋体" w:cs="Arial"/>
          <w:b/>
        </w:rPr>
        <w:t>参数中打“★”指实质性要求条款）</w:t>
      </w:r>
    </w:p>
    <w:p w14:paraId="78F26173">
      <w:pPr>
        <w:jc w:val="center"/>
        <w:rPr>
          <w:b/>
          <w:sz w:val="32"/>
          <w:szCs w:val="32"/>
        </w:rPr>
      </w:pPr>
      <w:r>
        <w:rPr>
          <w:rFonts w:hint="eastAsia"/>
          <w:b/>
          <w:sz w:val="32"/>
          <w:szCs w:val="32"/>
        </w:rPr>
        <w:t>3M医用显示器招标参数</w:t>
      </w:r>
    </w:p>
    <w:p w14:paraId="7D00A348">
      <w:pPr>
        <w:pStyle w:val="3"/>
      </w:pPr>
    </w:p>
    <w:tbl>
      <w:tblPr>
        <w:tblStyle w:val="11"/>
        <w:tblW w:w="741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5"/>
        <w:gridCol w:w="5219"/>
      </w:tblGrid>
      <w:tr w14:paraId="3D2E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5" w:type="dxa"/>
            <w:shd w:val="clear" w:color="auto" w:fill="auto"/>
            <w:vAlign w:val="center"/>
          </w:tcPr>
          <w:p w14:paraId="050BBB19">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bidi="ar"/>
              </w:rPr>
              <w:t>技术指标</w:t>
            </w:r>
          </w:p>
        </w:tc>
        <w:tc>
          <w:tcPr>
            <w:tcW w:w="5219" w:type="dxa"/>
            <w:shd w:val="clear" w:color="auto" w:fill="auto"/>
            <w:vAlign w:val="center"/>
          </w:tcPr>
          <w:p w14:paraId="06A4B82F">
            <w:pPr>
              <w:widowControl/>
              <w:jc w:val="center"/>
              <w:textAlignment w:val="center"/>
              <w:rPr>
                <w:rFonts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bidi="ar"/>
              </w:rPr>
              <w:t>具体技术要求</w:t>
            </w:r>
          </w:p>
        </w:tc>
      </w:tr>
      <w:tr w14:paraId="0410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95" w:type="dxa"/>
            <w:shd w:val="clear" w:color="auto" w:fill="auto"/>
            <w:vAlign w:val="center"/>
          </w:tcPr>
          <w:p w14:paraId="35122BE7">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自动校准亮度曲线</w:t>
            </w:r>
          </w:p>
        </w:tc>
        <w:tc>
          <w:tcPr>
            <w:tcW w:w="5219" w:type="dxa"/>
            <w:shd w:val="clear" w:color="auto" w:fill="auto"/>
            <w:vAlign w:val="center"/>
          </w:tcPr>
          <w:p w14:paraId="73F51C3A">
            <w:pPr>
              <w:widowControl/>
              <w:jc w:val="left"/>
              <w:textAlignment w:val="center"/>
              <w:rPr>
                <w:rFonts w:ascii="微软雅黑" w:hAnsi="微软雅黑" w:eastAsia="微软雅黑" w:cs="微软雅黑"/>
                <w:color w:val="000000"/>
                <w:sz w:val="20"/>
                <w:szCs w:val="20"/>
              </w:rPr>
            </w:pPr>
            <w:r>
              <w:rPr>
                <w:rStyle w:val="17"/>
                <w:rFonts w:hint="default"/>
                <w:lang w:bidi="ar"/>
              </w:rPr>
              <w:t>显示器可以自动校准亮度曲线，完全符合dicom3.14</w:t>
            </w:r>
            <w:r>
              <w:rPr>
                <w:rStyle w:val="18"/>
                <w:rFonts w:hint="default"/>
                <w:lang w:bidi="ar"/>
              </w:rPr>
              <w:t>标准，提供国家知识产权局认可的证明材料</w:t>
            </w:r>
          </w:p>
        </w:tc>
      </w:tr>
      <w:tr w14:paraId="6EFE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195" w:type="dxa"/>
            <w:shd w:val="clear" w:color="auto" w:fill="auto"/>
            <w:vAlign w:val="center"/>
          </w:tcPr>
          <w:p w14:paraId="1A73EA71">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基本参数</w:t>
            </w:r>
          </w:p>
        </w:tc>
        <w:tc>
          <w:tcPr>
            <w:tcW w:w="5219" w:type="dxa"/>
            <w:shd w:val="clear" w:color="auto" w:fill="auto"/>
            <w:vAlign w:val="center"/>
          </w:tcPr>
          <w:p w14:paraId="63F3CE9E">
            <w:pPr>
              <w:widowControl/>
              <w:jc w:val="left"/>
              <w:textAlignment w:val="center"/>
              <w:rPr>
                <w:rFonts w:ascii="微软雅黑" w:hAnsi="微软雅黑" w:eastAsia="微软雅黑" w:cs="微软雅黑"/>
                <w:color w:val="000000"/>
                <w:sz w:val="20"/>
                <w:szCs w:val="20"/>
              </w:rPr>
            </w:pPr>
            <w:r>
              <w:rPr>
                <w:rStyle w:val="17"/>
                <w:rFonts w:hint="default"/>
                <w:lang w:bidi="ar"/>
              </w:rPr>
              <w:t>≧21.3</w:t>
            </w:r>
            <w:r>
              <w:rPr>
                <w:rStyle w:val="18"/>
                <w:rFonts w:hint="default"/>
                <w:lang w:bidi="ar"/>
              </w:rPr>
              <w:t>英寸，点距</w:t>
            </w:r>
            <w:r>
              <w:rPr>
                <w:rStyle w:val="17"/>
                <w:rFonts w:hint="default"/>
                <w:lang w:bidi="ar"/>
              </w:rPr>
              <w:t>≤0.2115×0.2115mm</w:t>
            </w:r>
            <w:r>
              <w:rPr>
                <w:rStyle w:val="18"/>
                <w:rFonts w:hint="default"/>
                <w:lang w:bidi="ar"/>
              </w:rPr>
              <w:t>，分辨率</w:t>
            </w:r>
            <w:r>
              <w:rPr>
                <w:rStyle w:val="17"/>
                <w:rFonts w:hint="default"/>
                <w:lang w:bidi="ar"/>
              </w:rPr>
              <w:t>≧2048×1536</w:t>
            </w:r>
            <w:r>
              <w:rPr>
                <w:rStyle w:val="18"/>
                <w:rFonts w:hint="default"/>
                <w:lang w:bidi="ar"/>
              </w:rPr>
              <w:t>，最大亮度</w:t>
            </w:r>
            <w:r>
              <w:rPr>
                <w:rStyle w:val="17"/>
                <w:rFonts w:hint="default"/>
                <w:lang w:bidi="ar"/>
              </w:rPr>
              <w:t>≧1000cd/m²</w:t>
            </w:r>
            <w:r>
              <w:rPr>
                <w:rStyle w:val="18"/>
                <w:rFonts w:hint="default"/>
                <w:lang w:bidi="ar"/>
              </w:rPr>
              <w:t>，对比度</w:t>
            </w:r>
            <w:r>
              <w:rPr>
                <w:rStyle w:val="17"/>
                <w:rFonts w:hint="default"/>
                <w:lang w:bidi="ar"/>
              </w:rPr>
              <w:t>≧1300</w:t>
            </w:r>
            <w:r>
              <w:rPr>
                <w:rStyle w:val="18"/>
                <w:rFonts w:hint="default"/>
                <w:lang w:bidi="ar"/>
              </w:rPr>
              <w:t>：</w:t>
            </w:r>
            <w:r>
              <w:rPr>
                <w:rStyle w:val="17"/>
                <w:rFonts w:hint="default"/>
                <w:lang w:bidi="ar"/>
              </w:rPr>
              <w:t>1</w:t>
            </w:r>
            <w:r>
              <w:rPr>
                <w:rStyle w:val="18"/>
                <w:rFonts w:hint="default"/>
                <w:lang w:bidi="ar"/>
              </w:rPr>
              <w:t>，响应时间</w:t>
            </w:r>
            <w:r>
              <w:rPr>
                <w:rStyle w:val="17"/>
                <w:rFonts w:hint="default"/>
                <w:lang w:bidi="ar"/>
              </w:rPr>
              <w:t>≦14ms</w:t>
            </w:r>
            <w:r>
              <w:rPr>
                <w:rStyle w:val="18"/>
                <w:rFonts w:hint="default"/>
                <w:lang w:bidi="ar"/>
              </w:rPr>
              <w:t>，可视角度</w:t>
            </w:r>
            <w:r>
              <w:rPr>
                <w:rStyle w:val="17"/>
                <w:rFonts w:hint="default"/>
                <w:lang w:bidi="ar"/>
              </w:rPr>
              <w:t>≥178°</w:t>
            </w:r>
          </w:p>
        </w:tc>
      </w:tr>
      <w:tr w14:paraId="5C2B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95" w:type="dxa"/>
            <w:shd w:val="clear" w:color="auto" w:fill="auto"/>
            <w:vAlign w:val="center"/>
          </w:tcPr>
          <w:p w14:paraId="5132E8F5">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动态校正</w:t>
            </w:r>
          </w:p>
        </w:tc>
        <w:tc>
          <w:tcPr>
            <w:tcW w:w="5219" w:type="dxa"/>
            <w:shd w:val="clear" w:color="auto" w:fill="auto"/>
            <w:vAlign w:val="center"/>
          </w:tcPr>
          <w:p w14:paraId="3AC6118D">
            <w:pPr>
              <w:widowControl/>
              <w:jc w:val="left"/>
              <w:textAlignment w:val="center"/>
              <w:rPr>
                <w:rFonts w:ascii="微软雅黑" w:hAnsi="微软雅黑" w:eastAsia="微软雅黑" w:cs="微软雅黑"/>
                <w:color w:val="000000"/>
                <w:sz w:val="20"/>
                <w:szCs w:val="20"/>
              </w:rPr>
            </w:pPr>
            <w:r>
              <w:rPr>
                <w:rStyle w:val="17"/>
                <w:rFonts w:hint="default"/>
                <w:lang w:bidi="ar"/>
              </w:rPr>
              <w:t>显示器LUT</w:t>
            </w:r>
            <w:r>
              <w:rPr>
                <w:rStyle w:val="18"/>
                <w:rFonts w:hint="default"/>
                <w:lang w:bidi="ar"/>
              </w:rPr>
              <w:t>表可以动态生成，</w:t>
            </w:r>
            <w:r>
              <w:rPr>
                <w:rStyle w:val="17"/>
                <w:rFonts w:hint="default"/>
                <w:lang w:bidi="ar"/>
              </w:rPr>
              <w:t>DICOM</w:t>
            </w:r>
            <w:r>
              <w:rPr>
                <w:rStyle w:val="18"/>
                <w:rFonts w:hint="default"/>
                <w:lang w:bidi="ar"/>
              </w:rPr>
              <w:t>曲线可以在</w:t>
            </w:r>
            <w:r>
              <w:rPr>
                <w:rStyle w:val="17"/>
                <w:rFonts w:hint="default"/>
                <w:lang w:bidi="ar"/>
              </w:rPr>
              <w:t>200-500cd/m2</w:t>
            </w:r>
            <w:r>
              <w:rPr>
                <w:rStyle w:val="18"/>
                <w:rFonts w:hint="default"/>
                <w:lang w:bidi="ar"/>
              </w:rPr>
              <w:t>固定亮度下动态调节</w:t>
            </w:r>
            <w:r>
              <w:rPr>
                <w:rStyle w:val="17"/>
                <w:rFonts w:hint="default"/>
                <w:lang w:bidi="ar"/>
              </w:rPr>
              <w:t>,</w:t>
            </w:r>
            <w:r>
              <w:rPr>
                <w:rStyle w:val="18"/>
                <w:rFonts w:hint="default"/>
                <w:lang w:bidi="ar"/>
              </w:rPr>
              <w:t>提供国家知识产权局认可的证明材料</w:t>
            </w:r>
          </w:p>
        </w:tc>
      </w:tr>
      <w:tr w14:paraId="1493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95" w:type="dxa"/>
            <w:shd w:val="clear" w:color="auto" w:fill="auto"/>
            <w:vAlign w:val="center"/>
          </w:tcPr>
          <w:p w14:paraId="537FCFD0">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亮度均匀性</w:t>
            </w:r>
          </w:p>
        </w:tc>
        <w:tc>
          <w:tcPr>
            <w:tcW w:w="5219" w:type="dxa"/>
            <w:shd w:val="clear" w:color="auto" w:fill="auto"/>
            <w:vAlign w:val="center"/>
          </w:tcPr>
          <w:p w14:paraId="7C26D9A9">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显示器具有亮度均匀性调节功能，确保全屏幕亮度均衡，提供国家知识产权局认可的证明材料</w:t>
            </w:r>
          </w:p>
        </w:tc>
      </w:tr>
      <w:tr w14:paraId="5CA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5" w:type="dxa"/>
            <w:shd w:val="clear" w:color="auto" w:fill="auto"/>
            <w:vAlign w:val="center"/>
          </w:tcPr>
          <w:p w14:paraId="7EE3B196">
            <w:pPr>
              <w:widowControl/>
              <w:jc w:val="center"/>
              <w:textAlignment w:val="center"/>
              <w:rPr>
                <w:rFonts w:ascii="微软雅黑" w:hAnsi="微软雅黑" w:eastAsia="微软雅黑" w:cs="微软雅黑"/>
                <w:color w:val="000000"/>
                <w:sz w:val="20"/>
                <w:szCs w:val="20"/>
              </w:rPr>
            </w:pPr>
            <w:r>
              <w:rPr>
                <w:rStyle w:val="17"/>
                <w:rFonts w:hint="default"/>
                <w:lang w:bidi="ar"/>
              </w:rPr>
              <w:t>▲</w:t>
            </w:r>
            <w:r>
              <w:rPr>
                <w:rStyle w:val="18"/>
                <w:rFonts w:hint="default"/>
                <w:lang w:bidi="ar"/>
              </w:rPr>
              <w:t>色彩</w:t>
            </w:r>
          </w:p>
        </w:tc>
        <w:tc>
          <w:tcPr>
            <w:tcW w:w="5219" w:type="dxa"/>
            <w:shd w:val="clear" w:color="auto" w:fill="auto"/>
            <w:vAlign w:val="center"/>
          </w:tcPr>
          <w:p w14:paraId="051085E0">
            <w:pPr>
              <w:widowControl/>
              <w:jc w:val="left"/>
              <w:textAlignment w:val="center"/>
              <w:rPr>
                <w:rFonts w:ascii="微软雅黑" w:hAnsi="微软雅黑" w:eastAsia="微软雅黑" w:cs="微软雅黑"/>
                <w:color w:val="000000"/>
                <w:sz w:val="20"/>
                <w:szCs w:val="20"/>
              </w:rPr>
            </w:pPr>
            <w:r>
              <w:rPr>
                <w:rStyle w:val="17"/>
                <w:rFonts w:hint="default"/>
                <w:lang w:bidi="ar"/>
              </w:rPr>
              <w:t>色彩≧4.398</w:t>
            </w:r>
            <w:r>
              <w:rPr>
                <w:rStyle w:val="18"/>
                <w:rFonts w:hint="default"/>
                <w:lang w:bidi="ar"/>
              </w:rPr>
              <w:t>万亿色</w:t>
            </w:r>
            <w:r>
              <w:rPr>
                <w:rStyle w:val="17"/>
                <w:rFonts w:hint="default"/>
                <w:lang w:bidi="ar"/>
              </w:rPr>
              <w:t>(42bit)</w:t>
            </w:r>
            <w:r>
              <w:rPr>
                <w:rStyle w:val="18"/>
                <w:rFonts w:hint="default"/>
                <w:lang w:bidi="ar"/>
              </w:rPr>
              <w:t>，提供国家知识产权局认可的证明材料</w:t>
            </w:r>
          </w:p>
        </w:tc>
      </w:tr>
      <w:tr w14:paraId="0697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95" w:type="dxa"/>
            <w:shd w:val="clear" w:color="auto" w:fill="auto"/>
            <w:vAlign w:val="center"/>
          </w:tcPr>
          <w:p w14:paraId="6C8601EE">
            <w:pPr>
              <w:widowControl/>
              <w:jc w:val="center"/>
              <w:textAlignment w:val="center"/>
              <w:rPr>
                <w:rFonts w:ascii="微软雅黑" w:hAnsi="微软雅黑" w:eastAsia="微软雅黑" w:cs="微软雅黑"/>
                <w:color w:val="000000"/>
                <w:sz w:val="20"/>
                <w:szCs w:val="20"/>
              </w:rPr>
            </w:pPr>
            <w:r>
              <w:rPr>
                <w:rStyle w:val="18"/>
                <w:rFonts w:hint="default"/>
                <w:lang w:bidi="ar"/>
              </w:rPr>
              <w:t>视频输入端口</w:t>
            </w:r>
          </w:p>
        </w:tc>
        <w:tc>
          <w:tcPr>
            <w:tcW w:w="5219" w:type="dxa"/>
            <w:shd w:val="clear" w:color="auto" w:fill="auto"/>
            <w:vAlign w:val="center"/>
          </w:tcPr>
          <w:p w14:paraId="457DD6C7">
            <w:pPr>
              <w:widowControl/>
              <w:jc w:val="left"/>
              <w:textAlignment w:val="center"/>
              <w:rPr>
                <w:rFonts w:hint="eastAsia" w:ascii="微软雅黑" w:hAnsi="微软雅黑" w:eastAsia="微软雅黑" w:cs="微软雅黑"/>
                <w:color w:val="000000"/>
                <w:sz w:val="20"/>
                <w:szCs w:val="20"/>
              </w:rPr>
            </w:pPr>
            <w:r>
              <w:rPr>
                <w:rStyle w:val="17"/>
                <w:rFonts w:hint="default"/>
                <w:lang w:bidi="ar"/>
              </w:rPr>
              <w:t>DVI-D×1</w:t>
            </w:r>
            <w:r>
              <w:rPr>
                <w:rStyle w:val="18"/>
                <w:rFonts w:hint="default"/>
                <w:lang w:bidi="ar"/>
              </w:rPr>
              <w:t>、</w:t>
            </w:r>
            <w:r>
              <w:rPr>
                <w:rStyle w:val="17"/>
                <w:rFonts w:hint="default"/>
                <w:lang w:bidi="ar"/>
              </w:rPr>
              <w:t>DP×1</w:t>
            </w:r>
          </w:p>
        </w:tc>
      </w:tr>
      <w:tr w14:paraId="382E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195" w:type="dxa"/>
            <w:shd w:val="clear" w:color="auto" w:fill="auto"/>
            <w:vAlign w:val="center"/>
          </w:tcPr>
          <w:p w14:paraId="27061BFC">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观片灯功能</w:t>
            </w:r>
          </w:p>
        </w:tc>
        <w:tc>
          <w:tcPr>
            <w:tcW w:w="5219" w:type="dxa"/>
            <w:shd w:val="clear" w:color="auto" w:fill="auto"/>
            <w:vAlign w:val="center"/>
          </w:tcPr>
          <w:p w14:paraId="7BA99FAA">
            <w:pPr>
              <w:widowControl/>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sz w:val="20"/>
                <w:szCs w:val="20"/>
                <w:lang w:bidi="ar"/>
              </w:rPr>
              <w:t>显示器具有自动切换阅片灯模式的功能，可通过触控按键快速打开观片灯模式，方便医生查看胶片，提供国家知识产权局认可的证明材料</w:t>
            </w:r>
          </w:p>
        </w:tc>
      </w:tr>
      <w:tr w14:paraId="0B5B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95" w:type="dxa"/>
            <w:shd w:val="clear" w:color="auto" w:fill="auto"/>
            <w:vAlign w:val="center"/>
          </w:tcPr>
          <w:p w14:paraId="18EAAE4A">
            <w:pPr>
              <w:widowControl/>
              <w:jc w:val="center"/>
              <w:textAlignment w:val="center"/>
              <w:rPr>
                <w:rFonts w:ascii="微软雅黑" w:hAnsi="微软雅黑" w:eastAsia="微软雅黑" w:cs="微软雅黑"/>
                <w:color w:val="000000"/>
                <w:sz w:val="20"/>
                <w:szCs w:val="20"/>
              </w:rPr>
            </w:pPr>
            <w:r>
              <w:rPr>
                <w:rStyle w:val="19"/>
                <w:rFonts w:hint="default"/>
                <w:lang w:bidi="ar"/>
              </w:rPr>
              <w:t>★CCC</w:t>
            </w:r>
            <w:r>
              <w:rPr>
                <w:rStyle w:val="20"/>
                <w:rFonts w:hint="default"/>
                <w:lang w:bidi="ar"/>
              </w:rPr>
              <w:t>认证</w:t>
            </w:r>
          </w:p>
        </w:tc>
        <w:tc>
          <w:tcPr>
            <w:tcW w:w="5219" w:type="dxa"/>
            <w:shd w:val="clear" w:color="auto" w:fill="auto"/>
            <w:vAlign w:val="center"/>
          </w:tcPr>
          <w:p w14:paraId="3F33D1E4">
            <w:pPr>
              <w:widowControl/>
              <w:jc w:val="left"/>
              <w:textAlignment w:val="center"/>
              <w:rPr>
                <w:rFonts w:ascii="微软雅黑" w:hAnsi="微软雅黑" w:eastAsia="微软雅黑" w:cs="微软雅黑"/>
                <w:color w:val="000000"/>
                <w:sz w:val="20"/>
                <w:szCs w:val="20"/>
              </w:rPr>
            </w:pPr>
            <w:r>
              <w:rPr>
                <w:rStyle w:val="19"/>
                <w:rFonts w:hint="default"/>
                <w:lang w:bidi="ar"/>
              </w:rPr>
              <w:t>产品获得CCC</w:t>
            </w:r>
            <w:r>
              <w:rPr>
                <w:rStyle w:val="20"/>
                <w:rFonts w:hint="default"/>
                <w:lang w:bidi="ar"/>
              </w:rPr>
              <w:t>强制认证。</w:t>
            </w:r>
          </w:p>
        </w:tc>
      </w:tr>
      <w:tr w14:paraId="0AB3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95" w:type="dxa"/>
            <w:shd w:val="clear" w:color="auto" w:fill="auto"/>
            <w:vAlign w:val="center"/>
          </w:tcPr>
          <w:p w14:paraId="7D3ED0F7">
            <w:pPr>
              <w:widowControl/>
              <w:jc w:val="center"/>
              <w:textAlignment w:val="center"/>
              <w:rPr>
                <w:rFonts w:ascii="微软雅黑" w:hAnsi="微软雅黑" w:eastAsia="微软雅黑" w:cs="微软雅黑"/>
                <w:color w:val="000000"/>
                <w:sz w:val="20"/>
                <w:szCs w:val="20"/>
              </w:rPr>
            </w:pPr>
            <w:r>
              <w:rPr>
                <w:rStyle w:val="19"/>
                <w:rFonts w:hint="default"/>
                <w:lang w:bidi="ar"/>
              </w:rPr>
              <w:t>★</w:t>
            </w:r>
            <w:r>
              <w:rPr>
                <w:rStyle w:val="20"/>
                <w:rFonts w:hint="default"/>
                <w:lang w:bidi="ar"/>
              </w:rPr>
              <w:t>节能认证</w:t>
            </w:r>
          </w:p>
        </w:tc>
        <w:tc>
          <w:tcPr>
            <w:tcW w:w="5219" w:type="dxa"/>
            <w:shd w:val="clear" w:color="auto" w:fill="auto"/>
            <w:vAlign w:val="center"/>
          </w:tcPr>
          <w:p w14:paraId="292546EB">
            <w:pPr>
              <w:widowControl/>
              <w:jc w:val="left"/>
              <w:textAlignment w:val="center"/>
              <w:rPr>
                <w:rFonts w:ascii="微软雅黑" w:hAnsi="微软雅黑" w:eastAsia="微软雅黑" w:cs="微软雅黑"/>
                <w:color w:val="000000"/>
                <w:sz w:val="20"/>
                <w:szCs w:val="20"/>
              </w:rPr>
            </w:pPr>
            <w:r>
              <w:rPr>
                <w:rStyle w:val="19"/>
                <w:rFonts w:hint="default"/>
                <w:lang w:bidi="ar"/>
              </w:rPr>
              <w:t>产品获得中国节能产品认证</w:t>
            </w:r>
            <w:r>
              <w:rPr>
                <w:rStyle w:val="20"/>
                <w:rFonts w:hint="default"/>
                <w:lang w:bidi="ar"/>
              </w:rPr>
              <w:t>。</w:t>
            </w:r>
          </w:p>
        </w:tc>
      </w:tr>
      <w:tr w14:paraId="2AEF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95" w:type="dxa"/>
            <w:shd w:val="clear" w:color="auto" w:fill="auto"/>
            <w:vAlign w:val="center"/>
          </w:tcPr>
          <w:p w14:paraId="56316C5D">
            <w:pPr>
              <w:widowControl/>
              <w:jc w:val="center"/>
              <w:textAlignment w:val="center"/>
              <w:rPr>
                <w:rStyle w:val="19"/>
                <w:rFonts w:hint="default"/>
                <w:lang w:bidi="ar"/>
              </w:rPr>
            </w:pPr>
            <w:r>
              <w:t>▲</w:t>
            </w:r>
            <w:r>
              <w:rPr>
                <w:rFonts w:hAnsi="宋体"/>
              </w:rPr>
              <w:t>原厂服务</w:t>
            </w:r>
          </w:p>
        </w:tc>
        <w:tc>
          <w:tcPr>
            <w:tcW w:w="5219" w:type="dxa"/>
            <w:shd w:val="clear" w:color="auto" w:fill="auto"/>
            <w:vAlign w:val="center"/>
          </w:tcPr>
          <w:p w14:paraId="41170387">
            <w:pPr>
              <w:widowControl/>
              <w:jc w:val="left"/>
              <w:textAlignment w:val="center"/>
              <w:rPr>
                <w:rStyle w:val="19"/>
                <w:rFonts w:hint="default"/>
                <w:lang w:bidi="ar"/>
              </w:rPr>
            </w:pPr>
            <w:r>
              <w:rPr>
                <w:rFonts w:hAnsi="宋体"/>
              </w:rPr>
              <w:t>提供</w:t>
            </w:r>
            <w:r>
              <w:rPr>
                <w:rFonts w:hint="eastAsia" w:hAnsi="宋体"/>
              </w:rPr>
              <w:t>三</w:t>
            </w:r>
            <w:r>
              <w:rPr>
                <w:rFonts w:hAnsi="宋体"/>
              </w:rPr>
              <w:t>年原厂商保修服务，包含必要的电话支持及备件更换服务。</w:t>
            </w:r>
          </w:p>
        </w:tc>
      </w:tr>
      <w:tr w14:paraId="1CF6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95" w:type="dxa"/>
            <w:shd w:val="clear" w:color="auto" w:fill="auto"/>
            <w:vAlign w:val="center"/>
          </w:tcPr>
          <w:p w14:paraId="6C189E51">
            <w:pPr>
              <w:widowControl/>
              <w:jc w:val="center"/>
              <w:textAlignment w:val="center"/>
            </w:pPr>
            <w:r>
              <w:rPr>
                <w:rFonts w:hint="eastAsia"/>
              </w:rPr>
              <w:t>显卡</w:t>
            </w:r>
          </w:p>
        </w:tc>
        <w:tc>
          <w:tcPr>
            <w:tcW w:w="5219" w:type="dxa"/>
            <w:shd w:val="clear" w:color="auto" w:fill="auto"/>
            <w:vAlign w:val="center"/>
          </w:tcPr>
          <w:p w14:paraId="077E8D14">
            <w:pPr>
              <w:widowControl/>
              <w:jc w:val="left"/>
              <w:textAlignment w:val="center"/>
              <w:rPr>
                <w:rFonts w:hAnsi="宋体"/>
              </w:rPr>
            </w:pPr>
            <w:r>
              <w:rPr>
                <w:rFonts w:hint="eastAsia" w:hAnsi="宋体"/>
              </w:rPr>
              <w:t>支持一台电脑同时可以显示两台3</w:t>
            </w:r>
            <w:r>
              <w:rPr>
                <w:rFonts w:hAnsi="宋体"/>
              </w:rPr>
              <w:t>M</w:t>
            </w:r>
            <w:r>
              <w:rPr>
                <w:rFonts w:hint="eastAsia" w:hAnsi="宋体"/>
              </w:rPr>
              <w:t>医用显示器。</w:t>
            </w:r>
          </w:p>
        </w:tc>
      </w:tr>
    </w:tbl>
    <w:p w14:paraId="7397BB5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ebkit-standard">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iMzVkYjY2ZmNmODBlNzBkODQ2MWZhNTQxM2U5N2UifQ=="/>
  </w:docVars>
  <w:rsids>
    <w:rsidRoot w:val="00B22DF4"/>
    <w:rsid w:val="000E5FF5"/>
    <w:rsid w:val="000F437D"/>
    <w:rsid w:val="00123ED2"/>
    <w:rsid w:val="0047112A"/>
    <w:rsid w:val="004C4CCD"/>
    <w:rsid w:val="004F14EA"/>
    <w:rsid w:val="00703485"/>
    <w:rsid w:val="00B22DF4"/>
    <w:rsid w:val="00B51F14"/>
    <w:rsid w:val="00C915FB"/>
    <w:rsid w:val="00D85000"/>
    <w:rsid w:val="00DF5C89"/>
    <w:rsid w:val="00F31E96"/>
    <w:rsid w:val="00F90295"/>
    <w:rsid w:val="00FE5B07"/>
    <w:rsid w:val="1D37025D"/>
    <w:rsid w:val="2631521D"/>
    <w:rsid w:val="3AE71032"/>
    <w:rsid w:val="70D7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unhideWhenUsed/>
    <w:qFormat/>
    <w:uiPriority w:val="99"/>
    <w:pPr>
      <w:spacing w:after="120"/>
    </w:pPr>
  </w:style>
  <w:style w:type="paragraph" w:styleId="4">
    <w:name w:val="Body Text Indent"/>
    <w:basedOn w:val="1"/>
    <w:qFormat/>
    <w:uiPriority w:val="0"/>
    <w:pPr>
      <w:ind w:firstLine="555"/>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pPr>
      <w:spacing w:line="360" w:lineRule="auto"/>
    </w:pPr>
    <w:rPr>
      <w:rFonts w:ascii="宋体" w:hAnsi="宋体"/>
      <w:b/>
      <w:szCs w:val="21"/>
    </w:rPr>
  </w:style>
  <w:style w:type="paragraph" w:styleId="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rPr>
  </w:style>
  <w:style w:type="paragraph" w:styleId="10">
    <w:name w:val="Body Text First Indent 2"/>
    <w:basedOn w:val="4"/>
    <w:semiHidden/>
    <w:unhideWhenUsed/>
    <w:qFormat/>
    <w:uiPriority w:val="99"/>
    <w:pPr>
      <w:ind w:firstLine="420" w:firstLineChars="200"/>
    </w:pPr>
  </w:style>
  <w:style w:type="character" w:styleId="13">
    <w:name w:val="Hyperlink"/>
    <w:basedOn w:val="12"/>
    <w:unhideWhenUsed/>
    <w:qFormat/>
    <w:uiPriority w:val="99"/>
    <w:rPr>
      <w:color w:val="0026E5"/>
      <w:u w:val="single"/>
    </w:rPr>
  </w:style>
  <w:style w:type="paragraph" w:customStyle="1" w:styleId="14">
    <w:name w:val="列出段落1"/>
    <w:basedOn w:val="1"/>
    <w:qFormat/>
    <w:uiPriority w:val="0"/>
    <w:pPr>
      <w:ind w:firstLine="420" w:firstLineChars="200"/>
    </w:pPr>
    <w:rPr>
      <w:rFonts w:ascii="Calibri" w:hAnsi="Calibri"/>
      <w:kern w:val="2"/>
    </w:rPr>
  </w:style>
  <w:style w:type="paragraph" w:customStyle="1" w:styleId="15">
    <w:name w:val="表头文本"/>
    <w:basedOn w:val="1"/>
    <w:qFormat/>
    <w:uiPriority w:val="0"/>
    <w:pPr>
      <w:autoSpaceDE w:val="0"/>
      <w:autoSpaceDN w:val="0"/>
      <w:adjustRightInd w:val="0"/>
      <w:jc w:val="center"/>
    </w:pPr>
    <w:rPr>
      <w:b/>
      <w:szCs w:val="20"/>
    </w:rPr>
  </w:style>
  <w:style w:type="character" w:customStyle="1" w:styleId="16">
    <w:name w:val="NormalCharacter"/>
    <w:semiHidden/>
    <w:qFormat/>
    <w:uiPriority w:val="0"/>
  </w:style>
  <w:style w:type="character" w:customStyle="1" w:styleId="17">
    <w:name w:val="font21"/>
    <w:basedOn w:val="12"/>
    <w:uiPriority w:val="0"/>
    <w:rPr>
      <w:rFonts w:hint="eastAsia" w:ascii="微软雅黑" w:hAnsi="微软雅黑" w:eastAsia="微软雅黑" w:cs="微软雅黑"/>
      <w:color w:val="000000"/>
      <w:sz w:val="20"/>
      <w:szCs w:val="20"/>
      <w:u w:val="none"/>
    </w:rPr>
  </w:style>
  <w:style w:type="character" w:customStyle="1" w:styleId="18">
    <w:name w:val="font41"/>
    <w:basedOn w:val="12"/>
    <w:uiPriority w:val="0"/>
    <w:rPr>
      <w:rFonts w:hint="eastAsia" w:ascii="宋体" w:hAnsi="宋体" w:eastAsia="宋体" w:cs="宋体"/>
      <w:color w:val="000000"/>
      <w:sz w:val="20"/>
      <w:szCs w:val="20"/>
      <w:u w:val="none"/>
    </w:rPr>
  </w:style>
  <w:style w:type="character" w:customStyle="1" w:styleId="19">
    <w:name w:val="font31"/>
    <w:basedOn w:val="12"/>
    <w:uiPriority w:val="0"/>
    <w:rPr>
      <w:rFonts w:hint="eastAsia" w:ascii="微软雅黑" w:hAnsi="微软雅黑" w:eastAsia="微软雅黑" w:cs="微软雅黑"/>
      <w:color w:val="000000"/>
      <w:sz w:val="20"/>
      <w:szCs w:val="20"/>
      <w:u w:val="none"/>
    </w:rPr>
  </w:style>
  <w:style w:type="character" w:customStyle="1" w:styleId="20">
    <w:name w:val="font51"/>
    <w:basedOn w:val="12"/>
    <w:uiPriority w:val="0"/>
    <w:rPr>
      <w:rFonts w:hint="eastAsia" w:ascii="宋体" w:hAnsi="宋体" w:eastAsia="宋体" w:cs="宋体"/>
      <w:color w:val="000000"/>
      <w:sz w:val="20"/>
      <w:szCs w:val="20"/>
      <w:u w:val="none"/>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7D9C-042C-415F-B5E5-C8534E2E1AB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1903</Words>
  <Characters>2060</Characters>
  <Lines>19</Lines>
  <Paragraphs>5</Paragraphs>
  <TotalTime>19</TotalTime>
  <ScaleCrop>false</ScaleCrop>
  <LinksUpToDate>false</LinksUpToDate>
  <CharactersWithSpaces>2064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2024-09-13T06:05:00Z</dcterms:created>
  <dc:creator>快乐小马驹</dc:creator>
  <cp:lastModifiedBy>冬</cp:lastModifiedBy>
  <dcterms:modified xsi:type="dcterms:W3CDTF">2024-09-14T10:28:26Z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921EAAFC3C774E898EC8989D0535765F_13</vt:lpwstr>
  </property>
</Properties>
</file>